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rPr>
          <w:rFonts w:hint="default" w:ascii="Times New Roman" w:hAnsi="Times New Roman" w:eastAsia="宋体"/>
          <w:sz w:val="28"/>
          <w:szCs w:val="40"/>
          <w:lang w:val="en-US" w:eastAsia="zh-CN"/>
        </w:rPr>
      </w:pPr>
      <w:r>
        <w:rPr>
          <w:rFonts w:hint="eastAsia"/>
          <w:sz w:val="28"/>
          <w:szCs w:val="40"/>
          <w:lang w:val="en-US" w:eastAsia="zh-CN"/>
        </w:rPr>
        <w:t>《</w:t>
      </w:r>
      <w:bookmarkStart w:id="0" w:name="_GoBack"/>
      <w:r>
        <w:rPr>
          <w:rFonts w:hint="eastAsia" w:ascii="Times New Roman" w:hAnsi="Times New Roman"/>
          <w:lang w:eastAsia="zh-CN"/>
        </w:rPr>
        <w:t>太康县</w:t>
      </w:r>
      <w:r>
        <w:rPr>
          <w:rFonts w:hint="eastAsia"/>
          <w:lang w:val="en-US" w:eastAsia="zh-CN"/>
        </w:rPr>
        <w:t>中心城区F-29</w:t>
      </w:r>
      <w:r>
        <w:rPr>
          <w:rFonts w:hint="eastAsia" w:ascii="Times New Roman" w:hAnsi="Times New Roman" w:eastAsia="宋体"/>
          <w:sz w:val="28"/>
          <w:szCs w:val="40"/>
          <w:lang w:val="en-US" w:eastAsia="zh-CN"/>
        </w:rPr>
        <w:t>地块控制性详细规划</w:t>
      </w:r>
      <w:bookmarkEnd w:id="0"/>
      <w:r>
        <w:rPr>
          <w:rFonts w:hint="eastAsia"/>
          <w:sz w:val="28"/>
          <w:szCs w:val="40"/>
          <w:lang w:val="en-US" w:eastAsia="zh-CN"/>
        </w:rPr>
        <w:t>》公示稿</w:t>
      </w:r>
    </w:p>
    <w:p>
      <w:pPr>
        <w:bidi w:val="0"/>
        <w:jc w:val="right"/>
        <w:rPr>
          <w:rFonts w:hint="eastAsia"/>
          <w:color w:val="0000FF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bidi w:val="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本次调整用地位于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太康县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中心城区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内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，项目调整地块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由太柘路、规划健康东路、规划东关路、东关大街围合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bidi w:val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规划用地依据《国土空间调查、规划、用途管制用地用海分类指南》分类，分为公园绿地（1401）、二类城镇住宅用地（070102）、医院用地（080601）、。规划对地块重新进行编号，将地块划分为F-29-01、F-29-02、F-29-03三个地块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F-29-01为公园绿地（1401），用地面积为0.60公顷，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容积率为≤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0.05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，建筑密度为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＜3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%，建筑限高为≤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m，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绿地率＞65%；</w:t>
      </w:r>
    </w:p>
    <w:p>
      <w:pPr>
        <w:bidi w:val="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F-29-02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二类城镇住宅用地（070102）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用地与建筑兼容性见用地与建筑兼容控制一览表。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5.44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公顷，容积率为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≤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1.8，建筑高度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≤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54米，建筑密度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≤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30%，绿地率≥35%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。配建机动车停车位指标为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不少于1.0车位/户，应配建不少于15%的机动车充电车位；非机动车停车位不少于2.0车位/户，应配建不少于1车位/户的非机动车充电车位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</w:p>
    <w:p>
      <w:pPr>
        <w:bidi w:val="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F-29-03为医院用地（080601），兼容社会福利用地，兼容比例不超过20%。用地面积为4.03公顷，容积率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≤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1.5，建筑高度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≤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50米，建筑密度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≤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25%，绿地率≥35%。配建机动车停车位指标不少于1.5车位/百平米建筑面积，应配建不少于15%的机动车充电车位；非机动车停车位不少于6车位/百平米建筑面积，应配建不少于15%的机动车充电车位。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9BB605C"/>
    <w:rsid w:val="0A154985"/>
    <w:rsid w:val="132E4822"/>
    <w:rsid w:val="13864EB8"/>
    <w:rsid w:val="16526B10"/>
    <w:rsid w:val="191272E2"/>
    <w:rsid w:val="1D647B30"/>
    <w:rsid w:val="2AEB7E58"/>
    <w:rsid w:val="30632547"/>
    <w:rsid w:val="39686563"/>
    <w:rsid w:val="39CE7D86"/>
    <w:rsid w:val="3B943E78"/>
    <w:rsid w:val="3F29551A"/>
    <w:rsid w:val="418E420F"/>
    <w:rsid w:val="4DE16FD1"/>
    <w:rsid w:val="656B017F"/>
    <w:rsid w:val="66E02D12"/>
    <w:rsid w:val="6BAC3463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842</Words>
  <Characters>976</Characters>
  <Lines>6</Lines>
  <Paragraphs>1</Paragraphs>
  <TotalTime>2</TotalTime>
  <ScaleCrop>false</ScaleCrop>
  <LinksUpToDate>false</LinksUpToDate>
  <CharactersWithSpaces>1081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2023-04-05T02:01:51Z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8D1600794CCC48B7AFB404A4BC21BD38</vt:lpwstr>
  </property>
</Properties>
</file>