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康县省道320西侧、县道016南侧局部地块控制性详细规划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》</w:t>
      </w:r>
    </w:p>
    <w:p>
      <w:pPr>
        <w:pStyle w:val="8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公示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太康县城东北部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东环路西侧、太马路南侧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17.33公顷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本规划用地依据《国土空间调查、规划、用途管制用地用海分类指南》分类，包含二类城镇住宅用地（070102）、医院用地（080601），编码为A-01、A-02。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A-01二类城镇住宅用地（070102）容积率≤2.0，建筑密度≤30，建筑限高≤54m，绿地率≥35%，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配建机动车停车位指标为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不少于1.0车位/户，应配建不少于15%的机动车充电车位；非机动车停车位不少于2.0车位/户，应配建不少于1车位/户的非机动车充电车位；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-02医院用地（080601），兼容社会福利用地，兼容比例不超过20%。容积率≤1.5，建筑高度≤60米，建筑密度≤25%，绿地率≥35%。配建机动车停车位指标不少于1.5车位/百平米建筑面积，应配建不少于15%的机动车充电车位；非机动车停车位不少于6车位/百平米建筑面积，应配建不少于15%的机动车充电车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9BB605C"/>
    <w:rsid w:val="0A154985"/>
    <w:rsid w:val="16526B10"/>
    <w:rsid w:val="18615D8C"/>
    <w:rsid w:val="191272E2"/>
    <w:rsid w:val="1D647B30"/>
    <w:rsid w:val="1FF168C5"/>
    <w:rsid w:val="2AEB7E58"/>
    <w:rsid w:val="30632547"/>
    <w:rsid w:val="39CE7D86"/>
    <w:rsid w:val="3F29551A"/>
    <w:rsid w:val="418E420F"/>
    <w:rsid w:val="4DE16FD1"/>
    <w:rsid w:val="4F82592B"/>
    <w:rsid w:val="5560277F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722</Words>
  <Characters>815</Characters>
  <Lines>6</Lines>
  <Paragraphs>1</Paragraphs>
  <TotalTime>3</TotalTime>
  <ScaleCrop>false</ScaleCrop>
  <LinksUpToDate>false</LinksUpToDate>
  <CharactersWithSpaces>920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cp:lastPrinted>2023-04-06T06:37:01Z</cp:lastPrinted>
  <dcterms:modified xsi:type="dcterms:W3CDTF">2023-04-06T06:37:21Z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8D1600794CCC48B7AFB404A4BC21BD38</vt:lpwstr>
  </property>
</Properties>
</file>