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48"/>
          <w:szCs w:val="48"/>
          <w:highlight w:val="none"/>
          <w:lang w:val="en-US" w:eastAsia="zh-CN"/>
          <w14:textFill>
            <w14:solidFill>
              <w14:schemeClr w14:val="tx1"/>
            </w14:solidFill>
          </w14:textFill>
        </w:rPr>
      </w:pPr>
      <w:r>
        <w:rPr>
          <w:rFonts w:hint="eastAsia" w:ascii="仿宋" w:hAnsi="仿宋" w:eastAsia="仿宋" w:cs="仿宋"/>
          <w:color w:val="000000" w:themeColor="text1"/>
          <w:sz w:val="48"/>
          <w:szCs w:val="48"/>
          <w:highlight w:val="none"/>
          <w:lang w:val="en-US" w:eastAsia="zh-CN"/>
          <w14:textFill>
            <w14:solidFill>
              <w14:schemeClr w14:val="tx1"/>
            </w14:solidFill>
          </w14:textFill>
        </w:rPr>
        <w:t>车辆运行经费</w:t>
      </w:r>
    </w:p>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48"/>
          <w:szCs w:val="48"/>
          <w:highlight w:val="none"/>
          <w14:textFill>
            <w14:solidFill>
              <w14:schemeClr w14:val="tx1"/>
            </w14:solidFill>
          </w14:textFill>
        </w:rPr>
      </w:pPr>
      <w:r>
        <w:rPr>
          <w:rFonts w:hint="eastAsia" w:ascii="仿宋" w:hAnsi="仿宋" w:eastAsia="仿宋" w:cs="仿宋"/>
          <w:color w:val="000000" w:themeColor="text1"/>
          <w:sz w:val="48"/>
          <w:szCs w:val="48"/>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79333430"/>
      <w:bookmarkStart w:id="2" w:name="_Toc3762"/>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79333431"/>
      <w:bookmarkStart w:id="4" w:name="_Toc8110"/>
      <w:bookmarkStart w:id="5" w:name="_Toc16358"/>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7" w:name="_Toc79333434"/>
      <w:bookmarkStart w:id="8" w:name="_Toc14372"/>
      <w:bookmarkStart w:id="9" w:name="_Toc15536"/>
      <w:r>
        <w:rPr>
          <w:rFonts w:hint="eastAsia" w:ascii="仿宋" w:hAnsi="仿宋" w:eastAsia="仿宋" w:cs="仿宋"/>
          <w:sz w:val="32"/>
          <w:szCs w:val="32"/>
          <w:lang w:val="en-US" w:eastAsia="zh-CN"/>
        </w:rPr>
        <w:t>强化制度保障，规范公务用车管理，着力构建公务用车配备使用长效机制。确保每月按时支付车辆运行费用。</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10420"/>
      <w:bookmarkStart w:id="11" w:name="_Toc14868"/>
      <w:bookmarkStart w:id="12" w:name="_Toc79333437"/>
      <w:bookmarkStart w:id="13" w:name="_Toc75871361"/>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5871362"/>
      <w:bookmarkStart w:id="15" w:name="_Toc14288"/>
      <w:bookmarkStart w:id="16" w:name="_Toc79333438"/>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3060"/>
      <w:bookmarkStart w:id="18" w:name="_Toc75871363"/>
      <w:bookmarkStart w:id="19" w:name="_Toc10580"/>
      <w:bookmarkStart w:id="20" w:name="_Toc79333439"/>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eastAsia="zh-CN"/>
          <w14:textFill>
            <w14:solidFill>
              <w14:schemeClr w14:val="tx1"/>
            </w14:solidFill>
          </w14:textFill>
        </w:rPr>
        <w:t>车辆运行经费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79333440"/>
      <w:bookmarkStart w:id="22" w:name="_Toc75871364"/>
      <w:bookmarkStart w:id="23" w:name="_Toc8160"/>
      <w:bookmarkStart w:id="24" w:name="_Toc28498"/>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79333441"/>
      <w:bookmarkStart w:id="26" w:name="_Toc13521"/>
      <w:bookmarkStart w:id="27" w:name="_Toc32166"/>
      <w:bookmarkStart w:id="28" w:name="_Toc75871365"/>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25072"/>
      <w:bookmarkStart w:id="31" w:name="_Toc75871366"/>
      <w:bookmarkStart w:id="32" w:name="_Toc79333442"/>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14001"/>
      <w:bookmarkStart w:id="34" w:name="_Toc79333443"/>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25917"/>
      <w:bookmarkStart w:id="36" w:name="_Toc79333444"/>
      <w:bookmarkStart w:id="37" w:name="_Toc4028"/>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98</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5"/>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运行车辆</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事故发生率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nil"/>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1439"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保障车辆运转</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节约资金</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持续提高出行效率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职工满意度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98</w:t>
            </w:r>
          </w:p>
        </w:tc>
      </w:tr>
    </w:tbl>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2286"/>
      <w:bookmarkStart w:id="39" w:name="_Toc31442"/>
      <w:bookmarkStart w:id="40" w:name="_Toc79333445"/>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9747"/>
      <w:bookmarkStart w:id="42" w:name="_Toc79333446"/>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运行车辆</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eastAsia="zh-CN"/>
          <w14:textFill>
            <w14:solidFill>
              <w14:schemeClr w14:val="tx1"/>
            </w14:solidFill>
          </w14:textFill>
        </w:rPr>
        <w:t>共有保障运行车辆五辆，</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事故发生率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事故发生率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45</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保障车辆运转</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和“节约资金”</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我单位依照工作要求，已完成年度主要工作，保障车辆运转、节约资金</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持续提高出行效率</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我单位根据当前工作实际情况，应对突发工作和日常工作需求，持续提高出行效率，该指标标准分值为10分，实际综合得分为10分。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79333450"/>
      <w:bookmarkStart w:id="48" w:name="_Toc2983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79333452"/>
      <w:bookmarkStart w:id="51" w:name="_Toc32189"/>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5"/>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6" w:name="_Toc1841"/>
      <w:bookmarkStart w:id="57" w:name="_Toc665"/>
      <w:bookmarkStart w:id="58" w:name="_Toc79333457"/>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9" w:name="_Toc61882435"/>
      <w:bookmarkStart w:id="60" w:name="_Toc79333458"/>
      <w:bookmarkStart w:id="61" w:name="_Toc7064"/>
      <w:bookmarkStart w:id="62" w:name="_Toc62030119"/>
      <w:bookmarkStart w:id="63" w:name="_Toc75871379"/>
      <w:r>
        <w:rPr>
          <w:rFonts w:hint="eastAsia" w:ascii="仿宋" w:hAnsi="仿宋" w:eastAsia="仿宋" w:cs="仿宋"/>
          <w:color w:val="000000" w:themeColor="text1"/>
          <w:sz w:val="32"/>
          <w:szCs w:val="32"/>
          <w:highlight w:val="none"/>
          <w14:textFill>
            <w14:solidFill>
              <w14:schemeClr w14:val="tx1"/>
            </w14:solidFill>
          </w14:textFill>
        </w:rPr>
        <w:t>七、附件</w:t>
      </w:r>
      <w:bookmarkEnd w:id="59"/>
      <w:bookmarkEnd w:id="60"/>
      <w:bookmarkEnd w:id="61"/>
      <w:bookmarkEnd w:id="62"/>
      <w:bookmarkEnd w:id="6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tbl>
      <w:tblPr>
        <w:tblStyle w:val="15"/>
        <w:tblpPr w:leftFromText="180" w:rightFromText="180" w:vertAnchor="text" w:horzAnchor="page" w:tblpX="1443" w:tblpY="612"/>
        <w:tblOverlap w:val="never"/>
        <w:tblW w:w="0" w:type="auto"/>
        <w:tblInd w:w="0" w:type="dxa"/>
        <w:shd w:val="clear" w:color="auto" w:fill="auto"/>
        <w:tblLayout w:type="autofit"/>
        <w:tblCellMar>
          <w:top w:w="0" w:type="dxa"/>
          <w:left w:w="0" w:type="dxa"/>
          <w:bottom w:w="0" w:type="dxa"/>
          <w:right w:w="0" w:type="dxa"/>
        </w:tblCellMar>
      </w:tblPr>
      <w:tblGrid>
        <w:gridCol w:w="1052"/>
        <w:gridCol w:w="1795"/>
        <w:gridCol w:w="1752"/>
        <w:gridCol w:w="1667"/>
        <w:gridCol w:w="1062"/>
        <w:gridCol w:w="2494"/>
        <w:gridCol w:w="239"/>
        <w:gridCol w:w="229"/>
        <w:gridCol w:w="1054"/>
        <w:gridCol w:w="1590"/>
        <w:gridCol w:w="1054"/>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bookmarkStart w:id="64" w:name="_Toc62030120"/>
            <w:bookmarkStart w:id="65" w:name="_Toc79333459"/>
            <w:bookmarkStart w:id="66" w:name="_Toc75871380"/>
            <w:bookmarkStart w:id="67" w:name="_Toc9995"/>
            <w:bookmarkStart w:id="68" w:name="_Toc61882642"/>
            <w:r>
              <w:rPr>
                <w:rFonts w:hint="eastAsia" w:ascii="仿宋" w:hAnsi="仿宋" w:eastAsia="仿宋" w:cs="仿宋"/>
                <w:sz w:val="24"/>
                <w:szCs w:val="24"/>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车辆运行经费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2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强化制度保障，规范公务用车管理，着力构建公务用车配备使用长效机制。确保每月按时支付车辆运行费用。</w:t>
            </w:r>
          </w:p>
          <w:p>
            <w:pPr>
              <w:pStyle w:val="2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18"/>
                <w:szCs w:val="18"/>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20" w:lineRule="exact"/>
              <w:jc w:val="center"/>
              <w:rPr>
                <w:rFonts w:hint="eastAsia" w:ascii="仿宋" w:hAnsi="仿宋" w:eastAsia="仿宋" w:cs="仿宋"/>
                <w:sz w:val="18"/>
                <w:szCs w:val="18"/>
                <w:lang w:val="en-US" w:eastAsia="zh-CN"/>
              </w:rPr>
            </w:pPr>
            <w:r>
              <w:rPr>
                <w:rFonts w:hint="eastAsia" w:ascii="仿宋" w:hAnsi="仿宋" w:eastAsia="仿宋" w:cs="仿宋"/>
                <w:sz w:val="18"/>
                <w:szCs w:val="18"/>
                <w:lang w:val="en-US" w:eastAsia="zh-CN"/>
              </w:rPr>
              <w:t>强化制度保障，规范公务用车管理，着力构建公务用车配备使用长效机制。确保每月按时支付车辆运行费用。</w:t>
            </w:r>
          </w:p>
          <w:p>
            <w:pPr>
              <w:pStyle w:val="2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18"/>
                <w:szCs w:val="18"/>
              </w:rPr>
            </w:pPr>
            <w:bookmarkStart w:id="69" w:name="_GoBack"/>
            <w:bookmarkEnd w:id="69"/>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绩效指标</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运行车辆</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5部</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5部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事故发生率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≤45万元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45万元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社会效益</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保障车辆运转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节约资金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节约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节约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持续提高出行效率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职工满意度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bookmarkEnd w:id="64"/>
      <w:bookmarkEnd w:id="65"/>
      <w:bookmarkEnd w:id="66"/>
      <w:bookmarkEnd w:id="67"/>
      <w:bookmarkEnd w:id="68"/>
    </w:tbl>
    <w:p>
      <w:pPr>
        <w:pageBreakBefore w:val="0"/>
        <w:widowControl w:val="0"/>
        <w:tabs>
          <w:tab w:val="left" w:pos="1400"/>
        </w:tabs>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00000000"/>
    <w:rsid w:val="0C22176A"/>
    <w:rsid w:val="12E603E6"/>
    <w:rsid w:val="18945ABE"/>
    <w:rsid w:val="2E3A5E84"/>
    <w:rsid w:val="31242F52"/>
    <w:rsid w:val="39C667BD"/>
    <w:rsid w:val="40D06B9F"/>
    <w:rsid w:val="4CEF5351"/>
    <w:rsid w:val="54972E1D"/>
    <w:rsid w:val="663C6A6B"/>
    <w:rsid w:val="6F423742"/>
    <w:rsid w:val="70FB28B7"/>
    <w:rsid w:val="74515099"/>
    <w:rsid w:val="77AD1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unhideWhenUsed/>
    <w:qFormat/>
    <w:uiPriority w:val="9"/>
    <w:pPr>
      <w:keepNext/>
      <w:keepLines/>
      <w:ind w:firstLine="200"/>
      <w:jc w:val="left"/>
      <w:outlineLvl w:val="2"/>
    </w:pPr>
    <w:rPr>
      <w:rFonts w:ascii="宋体" w:hAnsi="宋体"/>
      <w:b/>
      <w:bCs/>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8">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Body Text 2"/>
    <w:basedOn w:val="1"/>
    <w:qFormat/>
    <w:uiPriority w:val="0"/>
    <w:pPr>
      <w:spacing w:after="40" w:line="560" w:lineRule="exact"/>
      <w:ind w:firstLine="0" w:firstLineChars="0"/>
      <w:jc w:val="center"/>
    </w:pPr>
    <w:rPr>
      <w:b/>
      <w:bCs/>
    </w:rPr>
  </w:style>
  <w:style w:type="paragraph" w:styleId="13">
    <w:name w:val="Body Text First Indent"/>
    <w:basedOn w:val="3"/>
    <w:next w:val="14"/>
    <w:qFormat/>
    <w:uiPriority w:val="0"/>
    <w:pPr>
      <w:spacing w:line="240" w:lineRule="auto"/>
      <w:ind w:firstLine="0" w:firstLineChars="0"/>
      <w:jc w:val="center"/>
    </w:pPr>
    <w:rPr>
      <w:rFonts w:ascii="Times New Roman" w:hAnsi="Times New Roman" w:eastAsia="仿宋_GB2312"/>
      <w:sz w:val="24"/>
      <w:szCs w:val="24"/>
    </w:rPr>
  </w:style>
  <w:style w:type="paragraph" w:styleId="14">
    <w:name w:val="Body Text First Indent 2"/>
    <w:basedOn w:val="8"/>
    <w:semiHidden/>
    <w:unhideWhenUsed/>
    <w:qFormat/>
    <w:uiPriority w:val="99"/>
    <w:pPr>
      <w:spacing w:line="240" w:lineRule="auto"/>
      <w:ind w:firstLine="0" w:firstLineChars="0"/>
    </w:pPr>
    <w:rPr>
      <w:rFonts w:ascii="Times New Roman" w:hAnsi="Times New Roman"/>
      <w:sz w:val="28"/>
      <w:szCs w:val="28"/>
    </w:rPr>
  </w:style>
  <w:style w:type="paragraph" w:customStyle="1" w:styleId="17">
    <w:name w:val="版权所有"/>
    <w:basedOn w:val="1"/>
    <w:qFormat/>
    <w:uiPriority w:val="0"/>
    <w:pPr>
      <w:ind w:firstLine="0" w:firstLineChars="0"/>
      <w:jc w:val="center"/>
    </w:pPr>
  </w:style>
  <w:style w:type="paragraph" w:customStyle="1" w:styleId="18">
    <w:name w:val="昭元绩效"/>
    <w:basedOn w:val="1"/>
    <w:qFormat/>
    <w:uiPriority w:val="0"/>
    <w:pPr>
      <w:spacing w:line="360" w:lineRule="auto"/>
      <w:ind w:firstLine="0" w:firstLineChars="0"/>
      <w:jc w:val="center"/>
    </w:pPr>
    <w:rPr>
      <w:rFonts w:eastAsia="宋体"/>
      <w:b/>
      <w:bCs/>
      <w:sz w:val="44"/>
      <w:szCs w:val="44"/>
    </w:rPr>
  </w:style>
  <w:style w:type="paragraph" w:customStyle="1" w:styleId="19">
    <w:name w:val="表头"/>
    <w:basedOn w:val="1"/>
    <w:next w:val="1"/>
    <w:qFormat/>
    <w:uiPriority w:val="0"/>
    <w:pPr>
      <w:spacing w:before="100" w:after="100"/>
      <w:jc w:val="center"/>
    </w:pPr>
    <w:rPr>
      <w:rFonts w:ascii="Times New Roman" w:hAnsi="Times New Roman"/>
      <w:b/>
      <w:bCs/>
      <w:szCs w:val="28"/>
    </w:r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3957</Words>
  <Characters>4162</Characters>
  <Lines>0</Lines>
  <Paragraphs>0</Paragraphs>
  <TotalTime>5</TotalTime>
  <ScaleCrop>false</ScaleCrop>
  <LinksUpToDate>false</LinksUpToDate>
  <CharactersWithSpaces>4193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2022-06-18T02:42:00Z</dcterms:created>
  <dc:creator>Administrator</dc:creator>
  <cp:lastModifiedBy>lenovo</cp:lastModifiedBy>
  <dcterms:modified xsi:type="dcterms:W3CDTF">2022-08-26T08:31:07Z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5A59D60C5A9C455EBB152CE6FB4C0482</vt:lpwstr>
  </property>
</Properties>
</file>