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none"/>
          <w:lang w:eastAsia="zh-CN"/>
          <w14:textFill>
            <w14:solidFill>
              <w14:schemeClr w14:val="tx1"/>
            </w14:solidFill>
          </w14:textFill>
        </w:rPr>
      </w:pPr>
      <w:r>
        <w:rPr>
          <w:rFonts w:hint="eastAsia" w:ascii="仿宋" w:hAnsi="仿宋" w:eastAsia="仿宋" w:cs="仿宋"/>
          <w:color w:val="000000" w:themeColor="text1"/>
          <w:sz w:val="56"/>
          <w:szCs w:val="56"/>
          <w:highlight w:val="none"/>
          <w:lang w:eastAsia="zh-CN"/>
          <w14:textFill>
            <w14:solidFill>
              <w14:schemeClr w14:val="tx1"/>
            </w14:solidFill>
          </w14:textFill>
        </w:rPr>
        <w:t>调研经费</w:t>
      </w: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none"/>
          <w14:textFill>
            <w14:solidFill>
              <w14:schemeClr w14:val="tx1"/>
            </w14:solidFill>
          </w14:textFill>
        </w:rPr>
      </w:pPr>
      <w:r>
        <w:rPr>
          <w:rFonts w:hint="eastAsia" w:ascii="仿宋" w:hAnsi="仿宋" w:eastAsia="仿宋" w:cs="仿宋"/>
          <w:color w:val="000000" w:themeColor="text1"/>
          <w:sz w:val="56"/>
          <w:szCs w:val="56"/>
          <w:highlight w:val="none"/>
          <w14:textFill>
            <w14:solidFill>
              <w14:schemeClr w14:val="tx1"/>
            </w14:solidFill>
          </w14:textFill>
        </w:rPr>
        <w:t>支出绩效自评总结报告</w:t>
      </w: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yellow"/>
          <w:lang w:val="en-US" w:eastAsia="zh-CN"/>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_Toc32166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_Toc25072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_Toc14001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_Toc25917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_Toc32286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79333430"/>
      <w:bookmarkStart w:id="2" w:name="_Toc3762"/>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16358"/>
      <w:bookmarkStart w:id="4" w:name="_Toc8110"/>
      <w:bookmarkStart w:id="5" w:name="_Toc79333431"/>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pPr>
      <w:bookmarkStart w:id="7" w:name="_Toc79333434"/>
      <w:bookmarkStart w:id="8" w:name="_Toc14372"/>
      <w:bookmarkStart w:id="9" w:name="_Toc15536"/>
      <w:r>
        <w:rPr>
          <w:rFonts w:hint="eastAsia" w:ascii="仿宋" w:hAnsi="仿宋" w:eastAsia="仿宋" w:cs="仿宋"/>
          <w:sz w:val="32"/>
          <w:szCs w:val="32"/>
          <w:lang w:val="en-US" w:eastAsia="zh-CN"/>
        </w:rPr>
        <w:t xml:space="preserve"> </w:t>
      </w:r>
      <w:r>
        <w:rPr>
          <w:rFonts w:hint="eastAsia" w:ascii="仿宋" w:hAnsi="仿宋" w:eastAsia="仿宋" w:cs="仿宋"/>
          <w:b w:val="0"/>
          <w:bCs w:val="0"/>
          <w:sz w:val="32"/>
          <w:szCs w:val="32"/>
          <w:lang w:val="en-US" w:eastAsia="zh-CN"/>
        </w:rPr>
        <w:t>强化制度保障，规范保障政协机关各委室调研视察、外出考察工作正常开展。</w:t>
      </w:r>
      <w:r>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t>聚焦职能定位，培育协商文化，推动协商议政向深向好发展</w:t>
      </w:r>
      <w:r>
        <w:rPr>
          <w:rStyle w:val="17"/>
          <w:rFonts w:hint="eastAsia" w:ascii="仿宋" w:hAnsi="仿宋" w:eastAsia="仿宋" w:cs="仿宋"/>
          <w:b w:val="0"/>
          <w:bCs w:val="0"/>
          <w:color w:val="000000" w:themeColor="text1"/>
          <w:sz w:val="32"/>
          <w:szCs w:val="32"/>
          <w14:textFill>
            <w14:solidFill>
              <w14:schemeClr w14:val="tx1"/>
            </w14:solidFill>
          </w14:textFill>
        </w:rPr>
        <w:t>。</w:t>
      </w:r>
      <w:r>
        <w:rPr>
          <w:rStyle w:val="17"/>
          <w:rFonts w:hint="eastAsia" w:ascii="仿宋" w:hAnsi="仿宋" w:eastAsia="仿宋" w:cs="仿宋"/>
          <w:b w:val="0"/>
          <w:bCs w:val="0"/>
          <w:color w:val="000000" w:themeColor="text1"/>
          <w:sz w:val="32"/>
          <w:szCs w:val="32"/>
          <w:lang w:val="en-US" w:eastAsia="zh-CN"/>
          <w14:textFill>
            <w14:solidFill>
              <w14:schemeClr w14:val="tx1"/>
            </w14:solidFill>
          </w14:textFill>
        </w:rPr>
        <w:t>持续</w:t>
      </w:r>
      <w:r>
        <w:rPr>
          <w:rStyle w:val="17"/>
          <w:rFonts w:hint="eastAsia" w:ascii="仿宋" w:hAnsi="仿宋" w:eastAsia="仿宋" w:cs="仿宋"/>
          <w:b w:val="0"/>
          <w:bCs w:val="0"/>
          <w:color w:val="000000" w:themeColor="text1"/>
          <w:sz w:val="32"/>
          <w:szCs w:val="32"/>
          <w14:textFill>
            <w14:solidFill>
              <w14:schemeClr w14:val="tx1"/>
            </w14:solidFill>
          </w14:textFill>
        </w:rPr>
        <w:t>完善“1+N”协商机制</w:t>
      </w:r>
      <w:r>
        <w:rPr>
          <w:rStyle w:val="17"/>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t>进一步拓展协商领域，活跃协商形式，规范协商规则，制定协商成果采纳、落实、反馈办法；</w:t>
      </w:r>
      <w:r>
        <w:rPr>
          <w:rStyle w:val="17"/>
          <w:rFonts w:hint="eastAsia" w:ascii="仿宋" w:hAnsi="仿宋" w:eastAsia="仿宋" w:cs="仿宋"/>
          <w:b w:val="0"/>
          <w:bCs w:val="0"/>
          <w:color w:val="000000" w:themeColor="text1"/>
          <w:sz w:val="32"/>
          <w:szCs w:val="32"/>
          <w14:textFill>
            <w14:solidFill>
              <w14:schemeClr w14:val="tx1"/>
            </w14:solidFill>
          </w14:textFill>
        </w:rPr>
        <w:t>加强协商平台建设</w:t>
      </w:r>
      <w:r>
        <w:rPr>
          <w:rStyle w:val="17"/>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t>筑牢“一线协商在太康”“有事好商量”“村级议事服务站”等协商平台，形成多渠道、广覆盖、更灵便的协商议政格局；</w:t>
      </w:r>
      <w:r>
        <w:rPr>
          <w:rStyle w:val="17"/>
          <w:rFonts w:hint="eastAsia" w:ascii="仿宋" w:hAnsi="仿宋" w:eastAsia="仿宋" w:cs="仿宋"/>
          <w:b w:val="0"/>
          <w:bCs w:val="0"/>
          <w:color w:val="000000" w:themeColor="text1"/>
          <w:sz w:val="32"/>
          <w:szCs w:val="32"/>
          <w14:textFill>
            <w14:solidFill>
              <w14:schemeClr w14:val="tx1"/>
            </w14:solidFill>
          </w14:textFill>
        </w:rPr>
        <w:t>优化协商活动设计</w:t>
      </w:r>
      <w:r>
        <w:rPr>
          <w:rStyle w:val="17"/>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t>鼓励各协商主体互动交流、畅所欲言、各抒己见，在协商过程中有来有往、良性互动；</w:t>
      </w:r>
      <w:r>
        <w:rPr>
          <w:rStyle w:val="17"/>
          <w:rFonts w:hint="eastAsia" w:ascii="仿宋" w:hAnsi="仿宋" w:eastAsia="仿宋" w:cs="仿宋"/>
          <w:b w:val="0"/>
          <w:bCs w:val="0"/>
          <w:color w:val="000000" w:themeColor="text1"/>
          <w:sz w:val="32"/>
          <w:szCs w:val="32"/>
          <w14:textFill>
            <w14:solidFill>
              <w14:schemeClr w14:val="tx1"/>
            </w14:solidFill>
          </w14:textFill>
        </w:rPr>
        <w:t>扩大协商参与范围</w:t>
      </w:r>
      <w:r>
        <w:rPr>
          <w:rStyle w:val="17"/>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t>更有计划、更有针对性、更广泛地吸纳有关专业人士、利益相关方、群众代表参与协商活动，使协商成果更具代表性；</w:t>
      </w:r>
      <w:r>
        <w:rPr>
          <w:rStyle w:val="17"/>
          <w:rFonts w:hint="eastAsia" w:ascii="仿宋" w:hAnsi="仿宋" w:eastAsia="仿宋" w:cs="仿宋"/>
          <w:b w:val="0"/>
          <w:bCs w:val="0"/>
          <w:color w:val="000000" w:themeColor="text1"/>
          <w:sz w:val="32"/>
          <w:szCs w:val="32"/>
          <w14:textFill>
            <w14:solidFill>
              <w14:schemeClr w14:val="tx1"/>
            </w14:solidFill>
          </w14:textFill>
        </w:rPr>
        <w:t>提高协商议政质量</w:t>
      </w:r>
      <w:r>
        <w:rPr>
          <w:rStyle w:val="17"/>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pacing w:val="0"/>
          <w:kern w:val="0"/>
          <w:sz w:val="32"/>
          <w:szCs w:val="32"/>
          <w:lang w:val="en-US" w:eastAsia="zh-CN" w:bidi="ar"/>
          <w14:textFill>
            <w14:solidFill>
              <w14:schemeClr w14:val="tx1"/>
            </w14:solidFill>
          </w14:textFill>
        </w:rPr>
        <w:t>加强协商前的形势政策学习，了解情况，做足功课，“沉下去”摸实情，“合起来”找方法，“静下心”写报告，找出切实的问题，提出切实的建议，让协商成果质量更高。</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75871361"/>
      <w:bookmarkStart w:id="11" w:name="_Toc79333437"/>
      <w:bookmarkStart w:id="12" w:name="_Toc10420"/>
      <w:bookmarkStart w:id="13" w:name="_Toc14868"/>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5871362"/>
      <w:bookmarkStart w:id="15" w:name="_Toc14288"/>
      <w:bookmarkStart w:id="16" w:name="_Toc79333438"/>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10580"/>
      <w:bookmarkStart w:id="18" w:name="_Toc3060"/>
      <w:bookmarkStart w:id="19" w:name="_Toc79333439"/>
      <w:bookmarkStart w:id="20" w:name="_Toc75871363"/>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政协调研经费</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8160"/>
      <w:bookmarkStart w:id="22" w:name="_Toc79333440"/>
      <w:bookmarkStart w:id="23" w:name="_Toc28498"/>
      <w:bookmarkStart w:id="24" w:name="_Toc75871364"/>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13521"/>
      <w:bookmarkStart w:id="26" w:name="_Toc32166"/>
      <w:bookmarkStart w:id="27" w:name="_Toc79333441"/>
      <w:bookmarkStart w:id="28" w:name="_Toc75871365"/>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79333442"/>
      <w:bookmarkStart w:id="31" w:name="_Toc25072"/>
      <w:bookmarkStart w:id="32" w:name="_Toc75871366"/>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79333443"/>
      <w:bookmarkStart w:id="34" w:name="_Toc14001"/>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4028"/>
      <w:bookmarkStart w:id="36" w:name="_Toc79333444"/>
      <w:bookmarkStart w:id="37" w:name="_Toc25917"/>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97</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14:textFill>
            <w14:solidFill>
              <w14:schemeClr w14:val="tx1"/>
            </w14:solidFill>
          </w14:textFill>
        </w:rPr>
        <w:t>表格内三级指标以项目实际三级指标编写，示例如下：</w:t>
      </w: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p>
      <w:pPr>
        <w:pStyle w:val="2"/>
        <w:rPr>
          <w:rFonts w:hint="eastAsia" w:ascii="仿宋" w:hAnsi="仿宋" w:eastAsia="仿宋" w:cs="仿宋"/>
          <w:b/>
          <w:bCs/>
          <w:color w:val="000000" w:themeColor="text1"/>
          <w:sz w:val="32"/>
          <w:szCs w:val="32"/>
          <w:highlight w:val="none"/>
          <w14:textFill>
            <w14:solidFill>
              <w14:schemeClr w14:val="tx1"/>
            </w14:solidFill>
          </w14:textFill>
        </w:rPr>
      </w:pPr>
    </w:p>
    <w:tbl>
      <w:tblPr>
        <w:tblStyle w:val="13"/>
        <w:tblpPr w:leftFromText="180" w:rightFromText="180" w:vertAnchor="text" w:horzAnchor="page" w:tblpX="1817" w:tblpY="594"/>
        <w:tblOverlap w:val="never"/>
        <w:tblW w:w="4954" w:type="pct"/>
        <w:tblInd w:w="0" w:type="dxa"/>
        <w:tblLayout w:type="fixed"/>
        <w:tblCellMar>
          <w:top w:w="0" w:type="dxa"/>
          <w:left w:w="108" w:type="dxa"/>
          <w:bottom w:w="0" w:type="dxa"/>
          <w:right w:w="108" w:type="dxa"/>
        </w:tblCellMar>
      </w:tblPr>
      <w:tblGrid>
        <w:gridCol w:w="1305"/>
        <w:gridCol w:w="1603"/>
        <w:gridCol w:w="2724"/>
        <w:gridCol w:w="1439"/>
        <w:gridCol w:w="1373"/>
      </w:tblGrid>
      <w:tr>
        <w:trPr>
          <w:trHeight w:val="567" w:hRule="atLeast"/>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实际得分</w:t>
            </w:r>
          </w:p>
        </w:tc>
      </w:tr>
      <w:tr>
        <w:tblPrEx>
          <w:tblCellMar>
            <w:top w:w="0" w:type="dxa"/>
            <w:left w:w="108" w:type="dxa"/>
            <w:bottom w:w="0" w:type="dxa"/>
            <w:right w:w="108" w:type="dxa"/>
          </w:tblCellMar>
        </w:tblPrEx>
        <w:trPr>
          <w:trHeight w:val="394" w:hRule="atLeast"/>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rPr>
          <w:trHeight w:val="641" w:hRule="atLeast"/>
        </w:trPr>
        <w:tc>
          <w:tcPr>
            <w:tcW w:w="772" w:type="pct"/>
            <w:vMerge w:val="restart"/>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nil"/>
              <w:left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612" w:type="pct"/>
            <w:tcBorders>
              <w:top w:val="nil"/>
              <w:left w:val="nil"/>
              <w:bottom w:val="single" w:color="auto" w:sz="4" w:space="0"/>
              <w:right w:val="single" w:color="auto" w:sz="4" w:space="0"/>
            </w:tcBorders>
            <w:shd w:val="clear" w:color="auto" w:fill="auto"/>
            <w:vAlign w:val="center"/>
          </w:tcPr>
          <w:p>
            <w:pPr>
              <w:tabs>
                <w:tab w:val="center" w:pos="965"/>
              </w:tabs>
              <w:spacing w:line="384" w:lineRule="exact"/>
              <w:jc w:val="center"/>
              <w:rPr>
                <w:rFonts w:hint="eastAsia" w:ascii="仿宋" w:hAnsi="仿宋" w:eastAsia="仿宋" w:cs="仿宋"/>
                <w:color w:val="000000"/>
                <w:sz w:val="32"/>
                <w:szCs w:val="52"/>
                <w:lang w:val="en-US" w:eastAsia="zh-CN"/>
              </w:rPr>
            </w:pPr>
            <w:r>
              <w:rPr>
                <w:rFonts w:hint="eastAsia" w:ascii="仿宋" w:hAnsi="仿宋" w:eastAsia="仿宋" w:cs="仿宋"/>
                <w:color w:val="000000"/>
                <w:sz w:val="32"/>
                <w:szCs w:val="52"/>
                <w:lang w:eastAsia="zh-CN"/>
              </w:rPr>
              <w:t>调研视察考察</w:t>
            </w:r>
          </w:p>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restart"/>
            <w:tcBorders>
              <w:top w:val="single" w:color="auto" w:sz="4" w:space="0"/>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调研考察合格率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rPr>
          <w:trHeight w:val="567" w:hRule="atLeast"/>
        </w:trPr>
        <w:tc>
          <w:tcPr>
            <w:tcW w:w="772" w:type="pct"/>
            <w:vMerge w:val="continue"/>
            <w:tcBorders>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trPr>
        <w:tc>
          <w:tcPr>
            <w:tcW w:w="772" w:type="pct"/>
            <w:vMerge w:val="continue"/>
            <w:tcBorders>
              <w:left w:val="single" w:color="auto" w:sz="4" w:space="0"/>
              <w:bottom w:val="single" w:color="000000"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trPr>
        <w:tc>
          <w:tcPr>
            <w:tcW w:w="772" w:type="pct"/>
            <w:vMerge w:val="restart"/>
            <w:tcBorders>
              <w:top w:val="nil"/>
              <w:left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保障调研考察工作开展</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567" w:hRule="atLeast"/>
        </w:trPr>
        <w:tc>
          <w:tcPr>
            <w:tcW w:w="772" w:type="pct"/>
            <w:vMerge w:val="continue"/>
            <w:tcBorders>
              <w:left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规范考察调研工作制度</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持续提高政协调研工作开展</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p>
        </w:tc>
      </w:tr>
      <w:tr>
        <w:tblPrEx>
          <w:tblCellMar>
            <w:top w:w="0" w:type="dxa"/>
            <w:left w:w="108" w:type="dxa"/>
            <w:bottom w:w="0" w:type="dxa"/>
            <w:right w:w="108" w:type="dxa"/>
          </w:tblCellMar>
        </w:tblPrEx>
        <w:trPr>
          <w:trHeight w:val="567" w:hRule="atLeast"/>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职工满意度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97</w:t>
            </w:r>
          </w:p>
        </w:tc>
      </w:tr>
    </w:tbl>
    <w:p>
      <w:pPr>
        <w:pStyle w:val="2"/>
        <w:rPr>
          <w:rFonts w:hint="eastAsia"/>
          <w:b/>
          <w:bCs/>
        </w:rPr>
      </w:pPr>
      <w:r>
        <w:rPr>
          <w:rFonts w:hint="eastAsia" w:ascii="仿宋" w:hAnsi="仿宋" w:eastAsia="仿宋" w:cs="仿宋"/>
          <w:b/>
          <w:bCs/>
          <w:color w:val="000000" w:themeColor="text1"/>
          <w:sz w:val="32"/>
          <w:szCs w:val="32"/>
          <w:highlight w:val="none"/>
          <w14:textFill>
            <w14:solidFill>
              <w14:schemeClr w14:val="tx1"/>
            </w14:solidFill>
          </w14:textFill>
        </w:rPr>
        <w:t>表3.1 绩效自评价得分表</w:t>
      </w:r>
    </w:p>
    <w:p>
      <w:pPr>
        <w:pStyle w:val="20"/>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2286"/>
      <w:bookmarkStart w:id="39" w:name="_Toc79333445"/>
      <w:bookmarkStart w:id="40" w:name="_Toc31442"/>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79333446"/>
      <w:bookmarkStart w:id="42" w:name="_Toc9747"/>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调研视察考察</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我单位已完成26次调研视察考察工作。</w:t>
      </w: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两</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调研考察合格率</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和“资金拨付程序规范性”。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w:t>
      </w:r>
      <w:r>
        <w:rPr>
          <w:rFonts w:hint="eastAsia" w:ascii="仿宋" w:hAnsi="仿宋" w:eastAsia="仿宋" w:cs="仿宋"/>
          <w:color w:val="000000" w:themeColor="text1"/>
          <w:sz w:val="32"/>
          <w:szCs w:val="32"/>
          <w:highlight w:val="none"/>
          <w:lang w:eastAsia="zh-CN"/>
          <w14:textFill>
            <w14:solidFill>
              <w14:schemeClr w14:val="tx1"/>
            </w14:solidFill>
          </w14:textFill>
        </w:rPr>
        <w:t>调研考察合格率</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100%，该指标标准分值为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30</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保障调研考察工作开展</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和“规范调研考察工作制度”</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w:t>
      </w:r>
      <w:r>
        <w:rPr>
          <w:rFonts w:hint="eastAsia" w:ascii="仿宋" w:hAnsi="仿宋" w:eastAsia="仿宋" w:cs="仿宋"/>
          <w:color w:val="000000" w:themeColor="text1"/>
          <w:sz w:val="32"/>
          <w:szCs w:val="32"/>
          <w:highlight w:val="none"/>
          <w:lang w:eastAsia="zh-CN"/>
          <w14:textFill>
            <w14:solidFill>
              <w14:schemeClr w14:val="tx1"/>
            </w14:solidFill>
          </w14:textFill>
        </w:rPr>
        <w:t>保障调研考察工作开展、</w:t>
      </w:r>
      <w:r>
        <w:rPr>
          <w:rFonts w:hint="eastAsia" w:ascii="仿宋" w:hAnsi="仿宋" w:eastAsia="仿宋" w:cs="仿宋"/>
          <w:color w:val="000000" w:themeColor="text1"/>
          <w:sz w:val="32"/>
          <w:szCs w:val="32"/>
          <w:highlight w:val="none"/>
          <w:lang w:val="en-US" w:eastAsia="zh-CN"/>
          <w14:textFill>
            <w14:solidFill>
              <w14:schemeClr w14:val="tx1"/>
            </w14:solidFill>
          </w14:textFill>
        </w:rPr>
        <w:t>规范调研考察工作制度，</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持续提高政协调研工作开展</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我单位根据当前培训实际情况，健全长效工作机制，“持续提高政协调研工作开展”该指标标准分值为10分，实际综合得分为9分。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27</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29830"/>
      <w:bookmarkStart w:id="48" w:name="_Toc7933345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79333452"/>
      <w:bookmarkStart w:id="51" w:name="_Toc32189"/>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1、前期绩效管理意识薄弱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未及时对项目全部资料进行梳理备案统一保管，出现资料不全问题，导致项目自评依据不完整，评价结果不够准确。</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2、绩效管理水平有待进一步提高</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我单位在进行绩效自评工作时，发现个别绩效指标设置不够合理，细化量化程度不足，自评结果不够准确。</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lang w:val="en-US" w:eastAsia="zh-CN"/>
          <w14:textFill>
            <w14:solidFill>
              <w14:schemeClr w14:val="tx1"/>
            </w14:solidFill>
          </w14:textFill>
        </w:rPr>
        <w:t>1.</w:t>
      </w:r>
      <w:r>
        <w:rPr>
          <w:rFonts w:hint="eastAsia" w:ascii="仿宋" w:hAnsi="仿宋" w:eastAsia="仿宋" w:cs="仿宋"/>
          <w:b/>
          <w:color w:val="000000" w:themeColor="text1"/>
          <w:sz w:val="32"/>
          <w:szCs w:val="32"/>
          <w:highlight w:val="none"/>
          <w14:textFill>
            <w14:solidFill>
              <w14:schemeClr w14:val="tx1"/>
            </w14:solidFill>
          </w14:textFill>
        </w:rPr>
        <w:t>强化预算绩效管理意识，提升项目产出效益</w:t>
      </w:r>
      <w:bookmarkEnd w:id="5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lang w:val="en-US" w:eastAsia="zh-CN"/>
          <w14:textFill>
            <w14:solidFill>
              <w14:schemeClr w14:val="tx1"/>
            </w14:solidFill>
          </w14:textFill>
        </w:rPr>
      </w:pPr>
      <w:bookmarkStart w:id="54" w:name="_Toc79333455"/>
      <w:r>
        <w:rPr>
          <w:rFonts w:hint="eastAsia" w:ascii="仿宋" w:hAnsi="仿宋" w:eastAsia="仿宋" w:cs="仿宋"/>
          <w:b/>
          <w:color w:val="000000" w:themeColor="text1"/>
          <w:sz w:val="32"/>
          <w:szCs w:val="32"/>
          <w:highlight w:val="none"/>
          <w:lang w:val="en-US" w:eastAsia="zh-CN"/>
          <w14:textFill>
            <w14:solidFill>
              <w14:schemeClr w14:val="tx1"/>
            </w14:solidFill>
          </w14:textFill>
        </w:rPr>
        <w:t>2.加强学习培训，进一步提高绩效管理水平</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本次自评属我单位首次开展，通过本次自评，发现我单位整体绩效评价水平不够，为更好的开展以后绩效评价和项目管理工作，建议财政部门组织绩效管理专题培训会议。</w:t>
      </w:r>
    </w:p>
    <w:p>
      <w:pPr>
        <w:pStyle w:val="7"/>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6113"/>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是要进一步健全专项资金绩效管理机制，积极推进专项资金绩效评价工作有效开展，切实做到“花钱必问效，无效必问责”。二是要加强人员培训，强化全员绩效管理意识，为推进预算绩效管理提供人才储备。三是要科学制定绩效目标，参照历史数据、行业标准、计划标准等数据资料，设置指向明确、细化量化、合理可行、相应匹配的绩效目标，为后期开展绩效监控和评价提供基础支撑。</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6" w:name="_Toc665"/>
      <w:bookmarkStart w:id="57" w:name="_Toc1841"/>
      <w:bookmarkStart w:id="58" w:name="_Toc79333457"/>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6"/>
      <w:bookmarkEnd w:id="57"/>
      <w:bookmarkEnd w:id="58"/>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1、加强预算绩效管理制度建设。完善预算绩效管理制度，制定预算绩效管理工作流程和实施细则，增强实用性和可操作性。将内部控制制度嵌入到预算绩效管理全过程，加强风险管理，优化指标体系，促进预算绩效管理的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2、加大绩效评价结果应用力度，强化资金管理责任主体绩效意识，同时，将评价结果向各预算单位和项目实施单位通报，并将评价结果向社会公开。</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需要说明的是：受多种因素影响，本次绩效自评工作还存在一定的局限性。定性指标考察受主观因素影响</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9" w:name="_Toc61882435"/>
      <w:bookmarkStart w:id="60" w:name="_Toc62030119"/>
      <w:bookmarkStart w:id="61" w:name="_Toc75871379"/>
      <w:bookmarkStart w:id="62" w:name="_Toc7064"/>
      <w:bookmarkStart w:id="63" w:name="_Toc79333458"/>
      <w:r>
        <w:rPr>
          <w:rFonts w:hint="eastAsia" w:ascii="仿宋" w:hAnsi="仿宋" w:eastAsia="仿宋" w:cs="仿宋"/>
          <w:color w:val="000000" w:themeColor="text1"/>
          <w:sz w:val="32"/>
          <w:szCs w:val="32"/>
          <w:highlight w:val="none"/>
          <w14:textFill>
            <w14:solidFill>
              <w14:schemeClr w14:val="tx1"/>
            </w14:solidFill>
          </w14:textFill>
        </w:rPr>
        <w:t>七、附件</w:t>
      </w:r>
      <w:bookmarkEnd w:id="59"/>
      <w:bookmarkEnd w:id="60"/>
      <w:bookmarkEnd w:id="61"/>
      <w:bookmarkEnd w:id="62"/>
      <w:bookmarkEnd w:id="6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4" w:name="_Toc9995"/>
      <w:bookmarkStart w:id="65" w:name="_Toc79333459"/>
      <w:bookmarkStart w:id="66" w:name="_Toc62030120"/>
      <w:bookmarkStart w:id="67" w:name="_Toc61882642"/>
      <w:bookmarkStart w:id="68" w:name="_Toc75871380"/>
      <w:r>
        <w:rPr>
          <w:rFonts w:hint="eastAsia" w:ascii="仿宋" w:hAnsi="仿宋" w:eastAsia="仿宋" w:cs="仿宋"/>
          <w:color w:val="000000" w:themeColor="text1"/>
          <w:sz w:val="32"/>
          <w:szCs w:val="32"/>
          <w:highlight w:val="none"/>
          <w14:textFill>
            <w14:solidFill>
              <w14:schemeClr w14:val="tx1"/>
            </w14:solidFill>
          </w14:textFill>
        </w:rPr>
        <w:t>附件一：项目绩效自评表</w:t>
      </w:r>
      <w:bookmarkEnd w:id="64"/>
      <w:bookmarkEnd w:id="65"/>
      <w:bookmarkEnd w:id="66"/>
      <w:bookmarkEnd w:id="67"/>
      <w:bookmarkEnd w:id="68"/>
    </w:p>
    <w:tbl>
      <w:tblPr>
        <w:tblStyle w:val="13"/>
        <w:tblW w:w="0" w:type="auto"/>
        <w:tblInd w:w="0" w:type="dxa"/>
        <w:shd w:val="clear" w:color="auto" w:fill="auto"/>
        <w:tblLayout w:type="autofit"/>
        <w:tblCellMar>
          <w:top w:w="0" w:type="dxa"/>
          <w:left w:w="0" w:type="dxa"/>
          <w:bottom w:w="0" w:type="dxa"/>
          <w:right w:w="0" w:type="dxa"/>
        </w:tblCellMar>
      </w:tblPr>
      <w:tblGrid>
        <w:gridCol w:w="979"/>
        <w:gridCol w:w="1670"/>
        <w:gridCol w:w="1630"/>
        <w:gridCol w:w="2039"/>
        <w:gridCol w:w="986"/>
        <w:gridCol w:w="2519"/>
        <w:gridCol w:w="221"/>
        <w:gridCol w:w="212"/>
        <w:gridCol w:w="1066"/>
        <w:gridCol w:w="1600"/>
        <w:gridCol w:w="1066"/>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调研经费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太康县政协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30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30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val="en-US"/>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30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30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30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17"/>
                <w:szCs w:val="17"/>
                <w:lang w:val="en-US" w:eastAsia="zh-CN"/>
              </w:rPr>
              <w:t>保障政协全年调研考察工作有序进行，强化制度保障，规范保障政协机关各委室调研视察、外出考察工作正常开展。</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17"/>
                <w:szCs w:val="17"/>
                <w:lang w:val="en-US" w:eastAsia="zh-CN"/>
              </w:rPr>
              <w:t>保障政协全年调研考察工作有序进行，强化制度保障，规范保障政协机关各委室调研视察、外出考察工作正常开展。</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绩效指标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一级指标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二级指标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三级指标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年度指标值</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实际完成值</w:t>
            </w:r>
          </w:p>
        </w:tc>
        <w:tc>
          <w:tcPr>
            <w:tcW w:w="0" w:type="auto"/>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得</w:t>
            </w:r>
            <w:bookmarkStart w:id="69" w:name="_GoBack"/>
            <w:bookmarkEnd w:id="69"/>
            <w:r>
              <w:rPr>
                <w:rFonts w:hint="eastAsia" w:ascii="仿宋" w:hAnsi="仿宋" w:eastAsia="仿宋" w:cs="仿宋"/>
                <w:sz w:val="22"/>
                <w:szCs w:val="22"/>
                <w:lang w:val="en-US" w:eastAsia="zh-CN"/>
              </w:rPr>
              <w:t>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产出指标（50分）</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数量指标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调研视察考察</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26次</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26次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调研考察合格率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≤30万元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30万元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社会效益</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保障调研考察工作开展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规范考察调研制度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持续提高政协调研工作开展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持续提高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持续提高</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职工满意度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bl>
    <w:p>
      <w:pPr>
        <w:pageBreakBefore w:val="0"/>
        <w:widowControl w:val="0"/>
        <w:tabs>
          <w:tab w:val="left" w:pos="1400"/>
        </w:tabs>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UwYTE0NWM0N2UzOGI1YjVlZDcyZTk1ZjM2MjgifQ=="/>
  </w:docVars>
  <w:rsids>
    <w:rsidRoot w:val="00000000"/>
    <w:rsid w:val="176872A9"/>
    <w:rsid w:val="32AA2A0C"/>
    <w:rsid w:val="374A3272"/>
    <w:rsid w:val="572773C4"/>
    <w:rsid w:val="728D5709"/>
    <w:rsid w:val="75656BDD"/>
    <w:rsid w:val="759545AC"/>
    <w:rsid w:val="76101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8">
    <w:name w:val="heading 2"/>
    <w:basedOn w:val="1"/>
    <w:next w:val="9"/>
    <w:unhideWhenUsed/>
    <w:qFormat/>
    <w:uiPriority w:val="9"/>
    <w:pPr>
      <w:keepNext/>
      <w:keepLines/>
      <w:ind w:firstLine="0" w:firstLineChars="0"/>
      <w:jc w:val="left"/>
      <w:outlineLvl w:val="1"/>
    </w:pPr>
    <w:rPr>
      <w:rFonts w:ascii="楷体" w:hAnsi="楷体" w:eastAsia="楷体" w:cstheme="majorBidi"/>
      <w:b/>
      <w:bCs/>
    </w:rPr>
  </w:style>
  <w:style w:type="paragraph" w:styleId="9">
    <w:name w:val="heading 3"/>
    <w:basedOn w:val="1"/>
    <w:next w:val="1"/>
    <w:unhideWhenUsed/>
    <w:qFormat/>
    <w:uiPriority w:val="9"/>
    <w:pPr>
      <w:keepNext/>
      <w:keepLines/>
      <w:ind w:firstLine="200"/>
      <w:jc w:val="left"/>
      <w:outlineLvl w:val="2"/>
    </w:pPr>
    <w:rPr>
      <w:rFonts w:ascii="宋体" w:hAnsi="宋体"/>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spacing w:line="240" w:lineRule="auto"/>
      <w:ind w:firstLine="0" w:firstLineChars="0"/>
      <w:jc w:val="center"/>
    </w:pPr>
    <w:rPr>
      <w:rFonts w:ascii="Times New Roman" w:hAnsi="Times New Roman" w:eastAsia="仿宋_GB2312"/>
      <w:sz w:val="24"/>
      <w:szCs w:val="24"/>
    </w:rPr>
  </w:style>
  <w:style w:type="paragraph" w:styleId="3">
    <w:name w:val="Body Text"/>
    <w:basedOn w:val="1"/>
    <w:next w:val="4"/>
    <w:qFormat/>
    <w:uiPriority w:val="0"/>
  </w:style>
  <w:style w:type="paragraph" w:styleId="4">
    <w:name w:val="Body Text 2"/>
    <w:basedOn w:val="1"/>
    <w:qFormat/>
    <w:uiPriority w:val="0"/>
    <w:pPr>
      <w:spacing w:after="40" w:line="560" w:lineRule="exact"/>
      <w:ind w:firstLine="0" w:firstLineChars="0"/>
      <w:jc w:val="center"/>
    </w:pPr>
    <w:rPr>
      <w:b/>
      <w:bCs/>
    </w:rPr>
  </w:style>
  <w:style w:type="paragraph" w:styleId="5">
    <w:name w:val="Body Text First Indent 2"/>
    <w:basedOn w:val="6"/>
    <w:semiHidden/>
    <w:unhideWhenUsed/>
    <w:qFormat/>
    <w:uiPriority w:val="99"/>
    <w:pPr>
      <w:spacing w:line="240" w:lineRule="auto"/>
      <w:ind w:firstLine="0" w:firstLineChars="0"/>
    </w:pPr>
    <w:rPr>
      <w:rFonts w:ascii="Times New Roman" w:hAnsi="Times New Roman"/>
      <w:sz w:val="28"/>
      <w:szCs w:val="28"/>
    </w:rPr>
  </w:style>
  <w:style w:type="paragraph" w:styleId="6">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snapToGrid w:val="0"/>
      <w:jc w:val="left"/>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customStyle="1" w:styleId="15">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6">
    <w:name w:val="Body Text 21"/>
    <w:basedOn w:val="1"/>
    <w:qFormat/>
    <w:uiPriority w:val="0"/>
    <w:pPr>
      <w:spacing w:line="480" w:lineRule="auto"/>
    </w:pPr>
  </w:style>
  <w:style w:type="character" w:customStyle="1" w:styleId="17">
    <w:name w:val="NormalCharacter"/>
    <w:qFormat/>
    <w:uiPriority w:val="0"/>
  </w:style>
  <w:style w:type="paragraph" w:customStyle="1" w:styleId="18">
    <w:name w:val="版权所有"/>
    <w:basedOn w:val="1"/>
    <w:qFormat/>
    <w:uiPriority w:val="0"/>
    <w:pPr>
      <w:ind w:firstLine="0" w:firstLineChars="0"/>
      <w:jc w:val="center"/>
    </w:pPr>
  </w:style>
  <w:style w:type="paragraph" w:customStyle="1" w:styleId="19">
    <w:name w:val="昭元绩效"/>
    <w:basedOn w:val="1"/>
    <w:qFormat/>
    <w:uiPriority w:val="0"/>
    <w:pPr>
      <w:spacing w:line="360" w:lineRule="auto"/>
      <w:ind w:firstLine="0" w:firstLineChars="0"/>
      <w:jc w:val="center"/>
    </w:pPr>
    <w:rPr>
      <w:rFonts w:eastAsia="宋体"/>
      <w:b/>
      <w:bCs/>
      <w:sz w:val="44"/>
      <w:szCs w:val="44"/>
    </w:rPr>
  </w:style>
  <w:style w:type="paragraph" w:customStyle="1" w:styleId="20">
    <w:name w:val="表头"/>
    <w:basedOn w:val="1"/>
    <w:next w:val="1"/>
    <w:qFormat/>
    <w:uiPriority w:val="0"/>
    <w:pPr>
      <w:spacing w:before="100" w:after="100"/>
      <w:jc w:val="center"/>
    </w:pPr>
    <w:rPr>
      <w:rFonts w:ascii="Times New Roman" w:hAnsi="Times New Roman"/>
      <w:b/>
      <w:bCs/>
      <w:szCs w:val="28"/>
    </w:rPr>
  </w:style>
  <w:style w:type="paragraph" w:customStyle="1" w:styleId="21">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4526</Words>
  <Characters>4741</Characters>
  <Lines>0</Lines>
  <Paragraphs>0</Paragraphs>
  <TotalTime>1</TotalTime>
  <ScaleCrop>false</ScaleCrop>
  <LinksUpToDate>false</LinksUpToDate>
  <CharactersWithSpaces>4774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2022-06-18T02:59:00Z</dcterms:created>
  <dc:creator>Administrator</dc:creator>
  <cp:lastModifiedBy>lenovo</cp:lastModifiedBy>
  <dcterms:modified xsi:type="dcterms:W3CDTF">2022-08-26T08:32:47Z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0372BC999E8E4D7EA062329CC34C335D</vt:lpwstr>
  </property>
</Properties>
</file>