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0" w:name="_Toc11908"/>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23"/>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2"/>
          <w:szCs w:val="52"/>
          <w:highlight w:val="none"/>
          <w:lang w:val="en-US" w:eastAsia="zh-CN"/>
          <w14:textFill>
            <w14:solidFill>
              <w14:schemeClr w14:val="tx1"/>
            </w14:solidFill>
          </w14:textFill>
        </w:rPr>
      </w:pPr>
      <w:r>
        <w:rPr>
          <w:rFonts w:hint="eastAsia" w:ascii="仿宋" w:hAnsi="仿宋" w:eastAsia="仿宋" w:cs="仿宋"/>
          <w:color w:val="000000" w:themeColor="text1"/>
          <w:sz w:val="52"/>
          <w:szCs w:val="52"/>
          <w:highlight w:val="none"/>
          <w:lang w:val="en-US" w:eastAsia="zh-CN"/>
          <w14:textFill>
            <w14:solidFill>
              <w14:schemeClr w14:val="tx1"/>
            </w14:solidFill>
          </w14:textFill>
        </w:rPr>
        <w:t>接待经费</w:t>
      </w:r>
    </w:p>
    <w:p>
      <w:pPr>
        <w:pStyle w:val="23"/>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2"/>
          <w:szCs w:val="52"/>
          <w:highlight w:val="none"/>
          <w14:textFill>
            <w14:solidFill>
              <w14:schemeClr w14:val="tx1"/>
            </w14:solidFill>
          </w14:textFill>
        </w:rPr>
      </w:pPr>
      <w:r>
        <w:rPr>
          <w:rFonts w:hint="eastAsia" w:ascii="仿宋" w:hAnsi="仿宋" w:eastAsia="仿宋" w:cs="仿宋"/>
          <w:color w:val="000000" w:themeColor="text1"/>
          <w:sz w:val="52"/>
          <w:szCs w:val="52"/>
          <w:highlight w:val="none"/>
          <w14:textFill>
            <w14:solidFill>
              <w14:schemeClr w14:val="tx1"/>
            </w14:solidFill>
          </w14:textFill>
        </w:rPr>
        <w:t>支出绩效自评总结报告</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自评单位：</w:t>
      </w:r>
      <w:r>
        <w:rPr>
          <w:rFonts w:hint="eastAsia" w:ascii="仿宋" w:hAnsi="仿宋" w:eastAsia="仿宋" w:cs="仿宋"/>
          <w:b/>
          <w:color w:val="000000" w:themeColor="text1"/>
          <w:sz w:val="32"/>
          <w:szCs w:val="32"/>
          <w:highlight w:val="none"/>
          <w:lang w:eastAsia="zh-CN"/>
          <w14:textFill>
            <w14:solidFill>
              <w14:schemeClr w14:val="tx1"/>
            </w14:solidFill>
          </w14:textFill>
        </w:rPr>
        <w:t>太康县政协</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日    期：</w:t>
      </w:r>
      <w:r>
        <w:rPr>
          <w:rFonts w:hint="eastAsia" w:ascii="仿宋" w:hAnsi="仿宋" w:eastAsia="仿宋" w:cs="仿宋"/>
          <w:b/>
          <w:color w:val="000000" w:themeColor="text1"/>
          <w:sz w:val="32"/>
          <w:szCs w:val="32"/>
          <w:highlight w:val="none"/>
          <w:lang w:val="en-US" w:eastAsia="zh-CN"/>
          <w14:textFill>
            <w14:solidFill>
              <w14:schemeClr w14:val="tx1"/>
            </w14:solidFill>
          </w14:textFill>
        </w:rPr>
        <w:t>2022</w:t>
      </w:r>
      <w:r>
        <w:rPr>
          <w:rFonts w:hint="eastAsia" w:ascii="仿宋" w:hAnsi="仿宋" w:eastAsia="仿宋" w:cs="仿宋"/>
          <w:b/>
          <w:color w:val="000000" w:themeColor="text1"/>
          <w:sz w:val="32"/>
          <w:szCs w:val="32"/>
          <w:highlight w:val="none"/>
          <w14:textFill>
            <w14:solidFill>
              <w14:schemeClr w14:val="tx1"/>
            </w14:solidFill>
          </w14:textFill>
        </w:rPr>
        <w:t>年</w:t>
      </w:r>
      <w:r>
        <w:rPr>
          <w:rFonts w:hint="eastAsia" w:ascii="仿宋" w:hAnsi="仿宋" w:eastAsia="仿宋" w:cs="仿宋"/>
          <w:b/>
          <w:color w:val="000000" w:themeColor="text1"/>
          <w:sz w:val="32"/>
          <w:szCs w:val="32"/>
          <w:highlight w:val="none"/>
          <w:lang w:val="en-US" w:eastAsia="zh-CN"/>
          <w14:textFill>
            <w14:solidFill>
              <w14:schemeClr w14:val="tx1"/>
            </w14:solidFill>
          </w14:textFill>
        </w:rPr>
        <w:t>5</w:t>
      </w:r>
      <w:r>
        <w:rPr>
          <w:rFonts w:hint="eastAsia" w:ascii="仿宋" w:hAnsi="仿宋" w:eastAsia="仿宋" w:cs="仿宋"/>
          <w:b/>
          <w:color w:val="000000" w:themeColor="text1"/>
          <w:sz w:val="32"/>
          <w:szCs w:val="32"/>
          <w:highlight w:val="none"/>
          <w14:textFill>
            <w14:solidFill>
              <w14:schemeClr w14:val="tx1"/>
            </w14:solidFill>
          </w14:textFill>
        </w:rPr>
        <w:t>月</w:t>
      </w:r>
    </w:p>
    <w:p>
      <w:pPr>
        <w:pStyle w:val="1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目  录</w:t>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color w:val="000000" w:themeColor="text1"/>
          <w:sz w:val="32"/>
          <w:szCs w:val="32"/>
          <w:highlight w:val="none"/>
          <w14:textFill>
            <w14:solidFill>
              <w14:schemeClr w14:val="tx1"/>
            </w14:solidFill>
          </w14:textFill>
        </w:rPr>
        <w:instrText xml:space="preserve">TOC \o "1-2" \h \u </w:instrText>
      </w:r>
      <w:r>
        <w:rPr>
          <w:rFonts w:hint="eastAsia" w:ascii="仿宋" w:hAnsi="仿宋" w:eastAsia="仿宋" w:cs="仿宋"/>
          <w:color w:val="000000" w:themeColor="text1"/>
          <w:sz w:val="32"/>
          <w:szCs w:val="32"/>
          <w:highlight w:val="none"/>
          <w14:textFill>
            <w14:solidFill>
              <w14:schemeClr w14:val="tx1"/>
            </w14:solidFill>
          </w14:textFill>
        </w:rPr>
        <w:fldChar w:fldCharType="separate"/>
      </w: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_Toc3762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_Toc3762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_Toc16358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（一）项目基本信息</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_Toc16358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_Toc15536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（二）项目支出情况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_Toc15536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_Toc14868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_Toc14868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_Toc14288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（一）绩效自评价目的和意义</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_Toc14288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_Toc10580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（二）绩效自评价对象和范围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_Toc10580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_Toc28498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（三）绩效评价的依据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_Toc28498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_Toc32166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（四）评分方法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_Toc32166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_Toc25072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（五）绩效自评工作组织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_Toc25072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_Toc14001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三、绩效自评结果及分析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_Toc14001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_Toc25917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（一）绩效自评价结果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_Toc25917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_Toc32286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（二）自评指标分析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_Toc32286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_Toc1306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四、自评发现的问题及整改措施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_Toc1306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_Toc32189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一</w:t>
      </w:r>
      <w:r>
        <w:rPr>
          <w:rFonts w:hint="eastAsia" w:ascii="仿宋" w:hAnsi="仿宋" w:eastAsia="仿宋" w:cs="仿宋"/>
          <w:sz w:val="32"/>
          <w:szCs w:val="32"/>
          <w:highlight w:val="none"/>
        </w:rPr>
        <w:t>）项目存在的问题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_Toc32189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_Toc9152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_Toc9152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_Toc6113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rPr>
        <w:t xml:space="preserve">五、 </w:t>
      </w:r>
      <w:r>
        <w:rPr>
          <w:rFonts w:hint="eastAsia" w:ascii="仿宋" w:hAnsi="仿宋" w:eastAsia="仿宋" w:cs="仿宋"/>
          <w:sz w:val="32"/>
          <w:szCs w:val="32"/>
          <w:highlight w:val="none"/>
        </w:rPr>
        <w:t>绩效自评工作建议及预算安排建议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_Toc6113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_Toc1841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六、其他需要说明的问题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_Toc1841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_Toc7064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七、附件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_Toc7064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_Toc9995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附件一：项目绩效自评表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_Toc9995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 w:name="_Toc3762"/>
      <w:bookmarkStart w:id="2" w:name="_Toc79333430"/>
      <w:r>
        <w:rPr>
          <w:rFonts w:hint="eastAsia" w:ascii="仿宋" w:hAnsi="仿宋" w:eastAsia="仿宋" w:cs="仿宋"/>
          <w:color w:val="000000" w:themeColor="text1"/>
          <w:sz w:val="32"/>
          <w:szCs w:val="32"/>
          <w:highlight w:val="none"/>
          <w14:textFill>
            <w14:solidFill>
              <w14:schemeClr w14:val="tx1"/>
            </w14:solidFill>
          </w14:textFill>
        </w:rPr>
        <w:t>一、项目基本情况</w:t>
      </w:r>
      <w:bookmarkEnd w:id="0"/>
      <w:bookmarkEnd w:id="1"/>
      <w:bookmarkEnd w:id="2"/>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 w:name="_Toc79333431"/>
      <w:bookmarkStart w:id="4" w:name="_Toc16358"/>
      <w:bookmarkStart w:id="5" w:name="_Toc8110"/>
      <w:r>
        <w:rPr>
          <w:rFonts w:hint="eastAsia" w:ascii="仿宋" w:hAnsi="仿宋" w:eastAsia="仿宋" w:cs="仿宋"/>
          <w:color w:val="000000" w:themeColor="text1"/>
          <w:sz w:val="32"/>
          <w:szCs w:val="32"/>
          <w:highlight w:val="none"/>
          <w14:textFill>
            <w14:solidFill>
              <w14:schemeClr w14:val="tx1"/>
            </w14:solidFill>
          </w14:textFill>
        </w:rPr>
        <w:t>（一）项目基本信息</w:t>
      </w:r>
      <w:bookmarkEnd w:id="3"/>
      <w:bookmarkEnd w:id="4"/>
      <w:bookmarkEnd w:id="5"/>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 w:name="_Toc79333433"/>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、项目实施内容</w:t>
      </w:r>
      <w:bookmarkEnd w:id="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333333"/>
          <w:kern w:val="0"/>
          <w:sz w:val="32"/>
          <w:szCs w:val="32"/>
          <w:lang w:val="en-US" w:eastAsia="zh-CN"/>
        </w:rPr>
      </w:pPr>
      <w:bookmarkStart w:id="7" w:name="_Toc14372"/>
      <w:bookmarkStart w:id="8" w:name="_Toc79333434"/>
      <w:bookmarkStart w:id="9" w:name="_Toc15536"/>
      <w:r>
        <w:rPr>
          <w:rFonts w:hint="eastAsia" w:ascii="仿宋" w:hAnsi="仿宋" w:eastAsia="仿宋" w:cs="仿宋"/>
          <w:color w:val="333333"/>
          <w:kern w:val="0"/>
          <w:sz w:val="32"/>
          <w:szCs w:val="32"/>
          <w:lang w:val="en-US" w:eastAsia="zh-CN"/>
        </w:rPr>
        <w:t>围绕县政协的中心工作，协助县政协领导处理县政协日常工作，为</w:t>
      </w:r>
      <w:r>
        <w:rPr>
          <w:rFonts w:hint="eastAsia" w:ascii="仿宋" w:hAnsi="仿宋" w:eastAsia="仿宋" w:cs="仿宋"/>
          <w:kern w:val="0"/>
          <w:sz w:val="32"/>
          <w:szCs w:val="32"/>
          <w:lang w:val="en-US" w:eastAsia="zh-CN" w:bidi="ar-SA"/>
        </w:rPr>
        <w:t>全县经济社会发展提供更加优质的服务。</w:t>
      </w:r>
      <w:r>
        <w:rPr>
          <w:rFonts w:hint="eastAsia" w:ascii="仿宋" w:hAnsi="仿宋" w:eastAsia="仿宋" w:cs="仿宋"/>
          <w:sz w:val="32"/>
          <w:szCs w:val="32"/>
          <w:lang w:val="en-US" w:eastAsia="zh-CN"/>
        </w:rPr>
        <w:t>主要用于</w:t>
      </w:r>
      <w:r>
        <w:rPr>
          <w:rFonts w:hint="eastAsia" w:ascii="仿宋" w:hAnsi="仿宋" w:eastAsia="仿宋" w:cs="仿宋"/>
          <w:sz w:val="32"/>
          <w:szCs w:val="32"/>
          <w:lang w:eastAsia="zh-CN"/>
        </w:rPr>
        <w:t>加强保障省市及兄弟县区来太康调研的相关工作，加强与外界的广泛交流，推进工作开展。</w:t>
      </w:r>
      <w:r>
        <w:rPr>
          <w:rFonts w:hint="eastAsia" w:ascii="仿宋_GB2312" w:hAnsi="仿宋_GB2312" w:eastAsia="仿宋_GB2312" w:cs="仿宋_GB2312"/>
          <w:color w:val="000000" w:themeColor="text1"/>
          <w:kern w:val="2"/>
          <w:sz w:val="32"/>
          <w:szCs w:val="32"/>
          <w:shd w:val="clear" w:color="auto" w:fill="FFFFFF"/>
          <w:lang w:val="en-US" w:eastAsia="zh-CN" w:bidi="ar-SA"/>
          <w14:textFill>
            <w14:solidFill>
              <w14:schemeClr w14:val="tx1"/>
            </w14:solidFill>
          </w14:textFill>
        </w:rPr>
        <w:t>围绕“聚、谈、看、提”四字做文章，使“委员之家”成为学习交流、联系群众、履行职责、联谊沟通的纽带桥梁，扩大同心圆，加深亲和力，增强向心力。</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（二）项目支出情况</w:t>
      </w:r>
      <w:bookmarkEnd w:id="7"/>
      <w:bookmarkEnd w:id="8"/>
      <w:bookmarkEnd w:id="9"/>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项目于2021年共申请财政资金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万元，当年实际执行</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w:t>
      </w:r>
      <w:r>
        <w:rPr>
          <w:rFonts w:hint="eastAsia" w:ascii="仿宋" w:hAnsi="仿宋" w:eastAsia="仿宋" w:cs="仿宋"/>
          <w:color w:val="000000" w:themeColor="text1"/>
          <w:sz w:val="32"/>
          <w:szCs w:val="32"/>
          <w:highlight w:val="none"/>
          <w:lang w:val="en-US" w:eastAsia="zh-CN"/>
          <w14:textFill>
            <w14:solidFill>
              <w14:schemeClr w14:val="tx1"/>
            </w14:solidFill>
          </w14:textFill>
        </w:rPr>
        <w:t>预算执行率100.00%。</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0" w:name="_Toc79333437"/>
      <w:bookmarkStart w:id="11" w:name="_Toc14868"/>
      <w:bookmarkStart w:id="12" w:name="_Toc75871361"/>
      <w:bookmarkStart w:id="13" w:name="_Toc10420"/>
      <w:r>
        <w:rPr>
          <w:rFonts w:hint="eastAsia" w:ascii="仿宋" w:hAnsi="仿宋" w:eastAsia="仿宋" w:cs="仿宋"/>
          <w:color w:val="000000" w:themeColor="text1"/>
          <w:sz w:val="32"/>
          <w:szCs w:val="32"/>
          <w:highlight w:val="none"/>
          <w14:textFill>
            <w14:solidFill>
              <w14:schemeClr w14:val="tx1"/>
            </w14:solidFill>
          </w14:textFill>
        </w:rPr>
        <w:t>二、绩效自评工作开展情况</w:t>
      </w:r>
      <w:bookmarkEnd w:id="10"/>
      <w:bookmarkEnd w:id="11"/>
      <w:bookmarkEnd w:id="12"/>
      <w:bookmarkEnd w:id="13"/>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4" w:name="_Toc79333438"/>
      <w:bookmarkStart w:id="15" w:name="_Toc14288"/>
      <w:bookmarkStart w:id="16" w:name="_Toc75871362"/>
      <w:r>
        <w:rPr>
          <w:rFonts w:hint="eastAsia" w:ascii="仿宋" w:hAnsi="仿宋" w:eastAsia="仿宋" w:cs="仿宋"/>
          <w:color w:val="000000" w:themeColor="text1"/>
          <w:sz w:val="32"/>
          <w:szCs w:val="32"/>
          <w:highlight w:val="none"/>
          <w14:textFill>
            <w14:solidFill>
              <w14:schemeClr w14:val="tx1"/>
            </w14:solidFill>
          </w14:textFill>
        </w:rPr>
        <w:t>（一）绩效自评价目的和意义</w:t>
      </w:r>
      <w:bookmarkEnd w:id="14"/>
      <w:bookmarkEnd w:id="15"/>
      <w:bookmarkEnd w:id="1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预算支出绩效自评价是预算单位运用科学、规范的评价方法，对照统一的评价标准，对预算支出的效率和效益进行的自我衡量和综合评价。</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预算支出绩效自评价的目的是：通过对绩效目标的综合考评，合理配置资源，优化支出结构，规范预算资金分配，提高财政资源配置效率和使用效益。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7" w:name="_Toc10580"/>
      <w:bookmarkStart w:id="18" w:name="_Toc79333439"/>
      <w:bookmarkStart w:id="19" w:name="_Toc75871363"/>
      <w:bookmarkStart w:id="20" w:name="_Toc3060"/>
      <w:r>
        <w:rPr>
          <w:rFonts w:hint="eastAsia" w:ascii="仿宋" w:hAnsi="仿宋" w:eastAsia="仿宋" w:cs="仿宋"/>
          <w:color w:val="000000" w:themeColor="text1"/>
          <w:sz w:val="32"/>
          <w:szCs w:val="32"/>
          <w:highlight w:val="none"/>
          <w14:textFill>
            <w14:solidFill>
              <w14:schemeClr w14:val="tx1"/>
            </w14:solidFill>
          </w14:textFill>
        </w:rPr>
        <w:t>（二）绩效自评价对象和范围</w:t>
      </w:r>
      <w:bookmarkEnd w:id="17"/>
      <w:bookmarkEnd w:id="18"/>
      <w:bookmarkEnd w:id="19"/>
      <w:bookmarkEnd w:id="20"/>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本次绩效自评价对象为2021年</w:t>
      </w:r>
      <w:r>
        <w:rPr>
          <w:rFonts w:hint="eastAsia" w:ascii="仿宋" w:hAnsi="仿宋" w:eastAsia="仿宋" w:cs="仿宋"/>
          <w:color w:val="000000" w:themeColor="text1"/>
          <w:sz w:val="32"/>
          <w:szCs w:val="32"/>
          <w:highlight w:val="none"/>
          <w:lang w:eastAsia="zh-CN"/>
          <w14:textFill>
            <w14:solidFill>
              <w14:schemeClr w14:val="tx1"/>
            </w14:solidFill>
          </w14:textFill>
        </w:rPr>
        <w:t>政协</w:t>
      </w:r>
      <w:r>
        <w:rPr>
          <w:rFonts w:hint="eastAsia" w:ascii="仿宋" w:hAnsi="仿宋" w:eastAsia="仿宋" w:cs="仿宋"/>
          <w:color w:val="000000" w:themeColor="text1"/>
          <w:sz w:val="32"/>
          <w:szCs w:val="32"/>
          <w:highlight w:val="none"/>
          <w:lang w:val="en-US" w:eastAsia="zh-CN"/>
          <w14:textFill>
            <w14:solidFill>
              <w14:schemeClr w14:val="tx1"/>
            </w14:solidFill>
          </w14:textFill>
        </w:rPr>
        <w:t>接待经费</w:t>
      </w:r>
      <w:r>
        <w:rPr>
          <w:rFonts w:hint="eastAsia" w:ascii="仿宋" w:hAnsi="仿宋" w:eastAsia="仿宋" w:cs="仿宋"/>
          <w:color w:val="000000" w:themeColor="text1"/>
          <w:sz w:val="32"/>
          <w:szCs w:val="32"/>
          <w:highlight w:val="none"/>
          <w14:textFill>
            <w14:solidFill>
              <w14:schemeClr w14:val="tx1"/>
            </w14:solidFill>
          </w14:textFill>
        </w:rPr>
        <w:t>专项资金，评价范围为涉及该项目管理及其预算资金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万元的使用情况。</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1" w:name="_Toc79333440"/>
      <w:bookmarkStart w:id="22" w:name="_Toc75871364"/>
      <w:bookmarkStart w:id="23" w:name="_Toc8160"/>
      <w:bookmarkStart w:id="24" w:name="_Toc28498"/>
      <w:r>
        <w:rPr>
          <w:rFonts w:hint="eastAsia" w:ascii="仿宋" w:hAnsi="仿宋" w:eastAsia="仿宋" w:cs="仿宋"/>
          <w:color w:val="000000" w:themeColor="text1"/>
          <w:sz w:val="32"/>
          <w:szCs w:val="32"/>
          <w:highlight w:val="none"/>
          <w14:textFill>
            <w14:solidFill>
              <w14:schemeClr w14:val="tx1"/>
            </w14:solidFill>
          </w14:textFill>
        </w:rPr>
        <w:t>（三）绩效评价的依据</w:t>
      </w:r>
      <w:bookmarkEnd w:id="21"/>
      <w:bookmarkEnd w:id="22"/>
      <w:bookmarkEnd w:id="23"/>
      <w:bookmarkEnd w:id="24"/>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中共中央、国务院《关于全面实施预算绩效管理的意见》（中发〔2018〕34号）；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《项目支出绩效评价管理办法》（财预〔2020〕10号）；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《预算绩效评价共性指标体系框架》（财预〔2013〕53号）；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《中共河南省委 河南省人民政府关于全面实施预算绩效管理的实施意见》（豫发〔2019〕10号）；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河南省财政厅关于印发《河南省省级预算项目支出绩效评价管理办法》的通知（豫财效〔2020〕10号）；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中共周口市委 周口市人民政府关于全面实施预算绩效管理的实施意见（周发〔2021〕6号）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与本次自评相关的其他资料。</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5" w:name="_Toc75871365"/>
      <w:bookmarkStart w:id="26" w:name="_Toc32166"/>
      <w:bookmarkStart w:id="27" w:name="_Toc79333441"/>
      <w:bookmarkStart w:id="28" w:name="_Toc13521"/>
      <w:r>
        <w:rPr>
          <w:rFonts w:hint="eastAsia" w:ascii="仿宋" w:hAnsi="仿宋" w:eastAsia="仿宋" w:cs="仿宋"/>
          <w:color w:val="000000" w:themeColor="text1"/>
          <w:sz w:val="32"/>
          <w:szCs w:val="32"/>
          <w:highlight w:val="none"/>
          <w14:textFill>
            <w14:solidFill>
              <w14:schemeClr w14:val="tx1"/>
            </w14:solidFill>
          </w14:textFill>
        </w:rPr>
        <w:t>（四）评分方法</w:t>
      </w:r>
      <w:bookmarkEnd w:id="25"/>
      <w:bookmarkEnd w:id="26"/>
      <w:bookmarkEnd w:id="27"/>
      <w:bookmarkEnd w:id="2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9" w:name="_Toc27533"/>
      <w:r>
        <w:rPr>
          <w:rFonts w:hint="eastAsia" w:ascii="仿宋" w:hAnsi="仿宋" w:eastAsia="仿宋" w:cs="仿宋"/>
          <w:color w:val="000000" w:themeColor="text1"/>
          <w:sz w:val="32"/>
          <w:szCs w:val="32"/>
          <w:highlight w:val="none"/>
          <w14:textFill>
            <w14:solidFill>
              <w14:schemeClr w14:val="tx1"/>
            </w14:solidFill>
          </w14:textFill>
        </w:rPr>
        <w:t>根据财政部《项目支出绩效评价管理办法》（财预〔2020〕10号）第十六条的相关要求：</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单位自评采用定量与定性评价相结合的比较法，总分由各项指标得分汇总形成。</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性指标得分按照以下方法评定：根据指标完成情况分为达成年度指标、部分达成年度指标并具有一定效果、未达成年度指标且效果较差三档，分别按照该指标对应分值区间100%—80%（含）、80%—60%（含）、60%—0%合理确定分值。</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评分表满分为100分，一级指标分值统一设置为：预算执行率10分、产出指标50分、效益指标30分、服务对象满意指标10分。各部门可根据指标的重要程度自主确定各项三级指标的权重分值各项指标得分加总得出自评的总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综合各级政府绩效评价相关政策，按照政策相关要求，根据指标的重要程度确定各项三级指标的权重分值。</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0" w:name="_Toc79333442"/>
      <w:bookmarkStart w:id="31" w:name="_Toc25072"/>
      <w:bookmarkStart w:id="32" w:name="_Toc75871366"/>
      <w:r>
        <w:rPr>
          <w:rFonts w:hint="eastAsia" w:ascii="仿宋" w:hAnsi="仿宋" w:eastAsia="仿宋" w:cs="仿宋"/>
          <w:color w:val="000000" w:themeColor="text1"/>
          <w:sz w:val="32"/>
          <w:szCs w:val="32"/>
          <w:highlight w:val="none"/>
          <w14:textFill>
            <w14:solidFill>
              <w14:schemeClr w14:val="tx1"/>
            </w14:solidFill>
          </w14:textFill>
        </w:rPr>
        <w:t>（五）绩效自评工作组织</w:t>
      </w:r>
      <w:bookmarkEnd w:id="29"/>
      <w:bookmarkEnd w:id="30"/>
      <w:bookmarkEnd w:id="31"/>
      <w:bookmarkEnd w:id="3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我单位依据自评价相关要求，成立项目自评领导小组，下设自评工作组，由工作组根据具体项目指定专人配合进行自评。</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工作组主要工作内容有：</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1、召开自评价专门会议，进行自评价工作的统一部署并组织项目相关成员进行必要的政策法规学习；</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2、组织有效的调查研究、项目座谈、查阅相关资料；</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3、根据获取的资料，依照《项目支出绩效自评表》进行合理打分；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4、综合上述工作成果，撰写项目自评价报告；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5、完成项目绩效评价相关政策所要求的其他事项。</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3" w:name="_Toc79333443"/>
      <w:bookmarkStart w:id="34" w:name="_Toc14001"/>
      <w:r>
        <w:rPr>
          <w:rFonts w:hint="eastAsia" w:ascii="仿宋" w:hAnsi="仿宋" w:eastAsia="仿宋" w:cs="仿宋"/>
          <w:color w:val="000000" w:themeColor="text1"/>
          <w:sz w:val="32"/>
          <w:szCs w:val="32"/>
          <w:highlight w:val="none"/>
          <w14:textFill>
            <w14:solidFill>
              <w14:schemeClr w14:val="tx1"/>
            </w14:solidFill>
          </w14:textFill>
        </w:rPr>
        <w:t>三、绩效自评结果及分析</w:t>
      </w:r>
      <w:bookmarkEnd w:id="33"/>
      <w:bookmarkEnd w:id="34"/>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5" w:name="_Toc79333444"/>
      <w:bookmarkStart w:id="36" w:name="_Toc4028"/>
      <w:bookmarkStart w:id="37" w:name="_Toc25917"/>
      <w:r>
        <w:rPr>
          <w:rFonts w:hint="eastAsia" w:ascii="仿宋" w:hAnsi="仿宋" w:eastAsia="仿宋" w:cs="仿宋"/>
          <w:color w:val="000000" w:themeColor="text1"/>
          <w:sz w:val="32"/>
          <w:szCs w:val="32"/>
          <w:highlight w:val="none"/>
          <w14:textFill>
            <w14:solidFill>
              <w14:schemeClr w14:val="tx1"/>
            </w14:solidFill>
          </w14:textFill>
        </w:rPr>
        <w:t>（一）绩效自评价结果</w:t>
      </w:r>
      <w:bookmarkEnd w:id="35"/>
      <w:bookmarkEnd w:id="36"/>
      <w:bookmarkEnd w:id="37"/>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根据自评相关规定，绩效评价结果实行百分制和四级分类，分别是：90-100分为优、80-89分为良、60-79分为中、0-59分为差。</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我单位通过对本项目</w:t>
      </w:r>
      <w:r>
        <w:rPr>
          <w:rFonts w:hint="eastAsia" w:ascii="仿宋" w:hAnsi="仿宋" w:eastAsia="仿宋" w:cs="仿宋"/>
          <w:color w:val="000000" w:themeColor="text1"/>
          <w:sz w:val="32"/>
          <w:szCs w:val="32"/>
          <w:highlight w:val="none"/>
          <w:u w:val="none"/>
          <w14:textFill>
            <w14:solidFill>
              <w14:schemeClr w14:val="tx1"/>
            </w14:solidFill>
          </w14:textFill>
        </w:rPr>
        <w:t>调查研究、座谈、查阅相关资料，根据相关政策要求进行打分，最终项目自评价得分为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97</w:t>
      </w:r>
      <w:r>
        <w:rPr>
          <w:rFonts w:hint="eastAsia" w:ascii="仿宋" w:hAnsi="仿宋" w:eastAsia="仿宋" w:cs="仿宋"/>
          <w:color w:val="000000" w:themeColor="text1"/>
          <w:sz w:val="32"/>
          <w:szCs w:val="32"/>
          <w:highlight w:val="none"/>
          <w:u w:val="none"/>
          <w14:textFill>
            <w14:solidFill>
              <w14:schemeClr w14:val="tx1"/>
            </w14:solidFill>
          </w14:textFill>
        </w:rPr>
        <w:t>分，评价结果为“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优</w:t>
      </w:r>
      <w:r>
        <w:rPr>
          <w:rFonts w:hint="eastAsia" w:ascii="仿宋" w:hAnsi="仿宋" w:eastAsia="仿宋" w:cs="仿宋"/>
          <w:color w:val="000000" w:themeColor="text1"/>
          <w:sz w:val="32"/>
          <w:szCs w:val="32"/>
          <w:highlight w:val="none"/>
          <w:u w:val="none"/>
          <w14:textFill>
            <w14:solidFill>
              <w14:schemeClr w14:val="tx1"/>
            </w14:solidFill>
          </w14:textFill>
        </w:rPr>
        <w:t>”。各项指标具体得分情况如下表3.1所示</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u w:val="none"/>
          <w14:textFill>
            <w14:solidFill>
              <w14:schemeClr w14:val="tx1"/>
            </w14:solidFill>
          </w14:textFill>
        </w:rPr>
        <w:t>表格内三级指标以项目实际三级指标编写，示例如下：</w:t>
      </w:r>
    </w:p>
    <w:p>
      <w:pPr>
        <w:pStyle w:val="24"/>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4"/>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表3.1 绩效自评价得分表</w:t>
      </w:r>
    </w:p>
    <w:tbl>
      <w:tblPr>
        <w:tblStyle w:val="17"/>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实际得分</w:t>
            </w:r>
          </w:p>
        </w:tc>
      </w:tr>
      <w:tr>
        <w:tblPrEx>
          <w:tblCellMar>
            <w:top w:w="0" w:type="dxa"/>
            <w:left w:w="108" w:type="dxa"/>
            <w:bottom w:w="0" w:type="dxa"/>
            <w:right w:w="108" w:type="dxa"/>
          </w:tblCellMar>
        </w:tblPrEx>
        <w:trPr>
          <w:trHeight w:val="394"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产出指标</w:t>
            </w:r>
          </w:p>
        </w:tc>
        <w:tc>
          <w:tcPr>
            <w:tcW w:w="949" w:type="pct"/>
            <w:tcBorders>
              <w:top w:val="nil"/>
              <w:left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w:t>
            </w:r>
          </w:p>
        </w:tc>
        <w:tc>
          <w:tcPr>
            <w:tcW w:w="1612" w:type="pct"/>
            <w:tcBorders>
              <w:top w:val="nil"/>
              <w:left w:val="nil"/>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公务接待</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restart"/>
            <w:tcBorders>
              <w:top w:val="single" w:color="auto" w:sz="4" w:space="0"/>
              <w:left w:val="single" w:color="auto" w:sz="4" w:space="0"/>
              <w:right w:val="single" w:color="auto" w:sz="4" w:space="0"/>
            </w:tcBorders>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公务接待标准合格率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right w:val="single" w:color="auto" w:sz="4" w:space="0"/>
            </w:tcBorders>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nil"/>
              <w:left w:val="nil"/>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资金拨付程序规范性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right w:val="single" w:color="auto" w:sz="4" w:space="0"/>
            </w:tcBorders>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项目总成本</w:t>
            </w:r>
          </w:p>
        </w:tc>
        <w:tc>
          <w:tcPr>
            <w:tcW w:w="1439" w:type="dxa"/>
            <w:tcBorders>
              <w:top w:val="single" w:color="auto"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auto"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保障接待工作</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宣传太康先进工作经验</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持续提升先进工作经验</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w:t>
            </w:r>
          </w:p>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来访人员</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97</w:t>
            </w:r>
          </w:p>
        </w:tc>
      </w:tr>
    </w:tbl>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8" w:name="_Toc31442"/>
      <w:bookmarkStart w:id="39" w:name="_Toc79333445"/>
      <w:bookmarkStart w:id="40" w:name="_Toc32286"/>
      <w:r>
        <w:rPr>
          <w:rFonts w:hint="eastAsia" w:ascii="仿宋" w:hAnsi="仿宋" w:eastAsia="仿宋" w:cs="仿宋"/>
          <w:color w:val="000000" w:themeColor="text1"/>
          <w:sz w:val="32"/>
          <w:szCs w:val="32"/>
          <w:highlight w:val="none"/>
          <w14:textFill>
            <w14:solidFill>
              <w14:schemeClr w14:val="tx1"/>
            </w14:solidFill>
          </w14:textFill>
        </w:rPr>
        <w:t>（二）自评指标分析</w:t>
      </w:r>
      <w:bookmarkEnd w:id="38"/>
      <w:bookmarkEnd w:id="39"/>
      <w:bookmarkEnd w:id="40"/>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1" w:name="_Toc79333446"/>
      <w:bookmarkStart w:id="42" w:name="_Toc9747"/>
      <w:r>
        <w:rPr>
          <w:rFonts w:hint="eastAsia" w:ascii="仿宋" w:hAnsi="仿宋" w:eastAsia="仿宋" w:cs="仿宋"/>
          <w:color w:val="000000" w:themeColor="text1"/>
          <w:sz w:val="32"/>
          <w:szCs w:val="32"/>
          <w:highlight w:val="none"/>
          <w14:textFill>
            <w14:solidFill>
              <w14:schemeClr w14:val="tx1"/>
            </w14:solidFill>
          </w14:textFill>
        </w:rPr>
        <w:t>1、预算执行指标分析</w:t>
      </w:r>
      <w:bookmarkEnd w:id="41"/>
      <w:bookmarkEnd w:id="4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一级指标“预算执行”下设一个二级指标和一个三级指标，均为“预算执行率”，该指标标准分值10分，实际得分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项目全年预算资金为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万元，全年执行数为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万元，预算执行率</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%，根据评分标准，预算执行率得分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3" w:name="_Toc79333447"/>
      <w:r>
        <w:rPr>
          <w:rFonts w:hint="eastAsia" w:ascii="仿宋" w:hAnsi="仿宋" w:eastAsia="仿宋" w:cs="仿宋"/>
          <w:color w:val="000000" w:themeColor="text1"/>
          <w:sz w:val="32"/>
          <w:szCs w:val="32"/>
          <w:highlight w:val="none"/>
          <w14:textFill>
            <w14:solidFill>
              <w14:schemeClr w14:val="tx1"/>
            </w14:solidFill>
          </w14:textFill>
        </w:rPr>
        <w:t>2、产出指标分析</w:t>
      </w:r>
      <w:bookmarkEnd w:id="4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一级指标“产出指标”下设四个二级指标分别是：“数量指标”、“质量指标”、“时效指标”和“成本指标”。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（1）数量指标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公务接待</w:t>
      </w:r>
      <w:r>
        <w:rPr>
          <w:rFonts w:hint="eastAsia" w:ascii="仿宋" w:hAnsi="仿宋" w:eastAsia="仿宋" w:cs="仿宋"/>
          <w:color w:val="000000" w:themeColor="text1"/>
          <w:sz w:val="32"/>
          <w:szCs w:val="32"/>
          <w:highlight w:val="none"/>
          <w14:textFill>
            <w14:solidFill>
              <w14:schemeClr w14:val="tx1"/>
            </w14:solidFill>
          </w14:textFill>
        </w:rPr>
        <w:t>”。</w:t>
      </w:r>
    </w:p>
    <w:p>
      <w:pPr>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截止202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年12月31日，</w:t>
      </w:r>
      <w:r>
        <w:rPr>
          <w:rFonts w:hint="eastAsia" w:ascii="仿宋" w:hAnsi="仿宋" w:eastAsia="仿宋" w:cs="仿宋"/>
          <w:color w:val="000000" w:themeColor="text1"/>
          <w:sz w:val="32"/>
          <w:szCs w:val="32"/>
          <w:highlight w:val="none"/>
          <w:lang w:val="en-US" w:eastAsia="zh-CN"/>
          <w14:textFill>
            <w14:solidFill>
              <w14:schemeClr w14:val="tx1"/>
            </w14:solidFill>
          </w14:textFill>
        </w:rPr>
        <w:t>完成</w:t>
      </w:r>
      <w:r>
        <w:rPr>
          <w:rFonts w:hint="eastAsia" w:ascii="仿宋" w:hAnsi="仿宋" w:eastAsia="仿宋" w:cs="Arial"/>
          <w:color w:val="000000" w:themeColor="text1"/>
          <w:sz w:val="32"/>
          <w:szCs w:val="32"/>
          <w:shd w:val="clear" w:color="auto" w:fill="FFFFFF"/>
          <w:lang w:eastAsia="zh-CN"/>
          <w14:textFill>
            <w14:solidFill>
              <w14:schemeClr w14:val="tx1"/>
            </w14:solidFill>
          </w14:textFill>
        </w:rPr>
        <w:t>“</w:t>
      </w:r>
      <w:r>
        <w:rPr>
          <w:rFonts w:ascii="仿宋" w:hAnsi="仿宋" w:eastAsia="仿宋" w:cs="Arial"/>
          <w:color w:val="000000" w:themeColor="text1"/>
          <w:sz w:val="32"/>
          <w:szCs w:val="32"/>
          <w:shd w:val="clear" w:color="auto" w:fill="FFFFFF"/>
          <w14:textFill>
            <w14:solidFill>
              <w14:schemeClr w14:val="tx1"/>
            </w14:solidFill>
          </w14:textFill>
        </w:rPr>
        <w:t>委员之家</w:t>
      </w:r>
      <w:r>
        <w:rPr>
          <w:rFonts w:hint="eastAsia" w:ascii="仿宋" w:hAnsi="仿宋" w:eastAsia="仿宋" w:cs="Arial"/>
          <w:color w:val="000000" w:themeColor="text1"/>
          <w:sz w:val="32"/>
          <w:szCs w:val="32"/>
          <w:shd w:val="clear" w:color="auto" w:fill="FFFFFF"/>
          <w:lang w:eastAsia="zh-CN"/>
          <w14:textFill>
            <w14:solidFill>
              <w14:schemeClr w14:val="tx1"/>
            </w14:solidFill>
          </w14:textFill>
        </w:rPr>
        <w:t>”</w:t>
      </w:r>
      <w:r>
        <w:rPr>
          <w:rFonts w:hint="eastAsia" w:ascii="仿宋" w:hAnsi="仿宋" w:eastAsia="仿宋"/>
          <w:b w:val="0"/>
          <w:bCs w:val="0"/>
          <w:color w:val="000000" w:themeColor="text1"/>
          <w:sz w:val="32"/>
          <w:szCs w:val="32"/>
          <w:shd w:val="clear" w:color="auto" w:fill="FFFFFF"/>
          <w14:textFill>
            <w14:solidFill>
              <w14:schemeClr w14:val="tx1"/>
            </w14:solidFill>
          </w14:textFill>
        </w:rPr>
        <w:t>共接纳委员</w:t>
      </w:r>
      <w:r>
        <w:rPr>
          <w:rFonts w:hint="eastAsia" w:ascii="仿宋" w:hAnsi="仿宋" w:eastAsia="仿宋"/>
          <w:b w:val="0"/>
          <w:bCs w:val="0"/>
          <w:color w:val="000000" w:themeColor="text1"/>
          <w:sz w:val="32"/>
          <w:szCs w:val="32"/>
          <w:shd w:val="clear" w:color="auto" w:fill="FFFFFF"/>
          <w:lang w:val="en-US" w:eastAsia="zh-CN"/>
          <w14:textFill>
            <w14:solidFill>
              <w14:schemeClr w14:val="tx1"/>
            </w14:solidFill>
          </w14:textFill>
        </w:rPr>
        <w:t>730</w:t>
      </w:r>
      <w:r>
        <w:rPr>
          <w:rFonts w:hint="eastAsia" w:ascii="仿宋" w:hAnsi="仿宋" w:eastAsia="仿宋"/>
          <w:b w:val="0"/>
          <w:bCs w:val="0"/>
          <w:color w:val="000000" w:themeColor="text1"/>
          <w:sz w:val="32"/>
          <w:szCs w:val="32"/>
          <w:shd w:val="clear" w:color="auto" w:fill="FFFFFF"/>
          <w14:textFill>
            <w14:solidFill>
              <w14:schemeClr w14:val="tx1"/>
            </w14:solidFill>
          </w14:textFill>
        </w:rPr>
        <w:t>人次，开展活动</w:t>
      </w:r>
      <w:r>
        <w:rPr>
          <w:rFonts w:hint="eastAsia" w:ascii="仿宋" w:hAnsi="仿宋" w:eastAsia="仿宋"/>
          <w:b w:val="0"/>
          <w:bCs w:val="0"/>
          <w:color w:val="000000" w:themeColor="text1"/>
          <w:sz w:val="32"/>
          <w:szCs w:val="32"/>
          <w:shd w:val="clear" w:color="auto" w:fill="FFFFFF"/>
          <w:lang w:val="en-US" w:eastAsia="zh-CN"/>
          <w14:textFill>
            <w14:solidFill>
              <w14:schemeClr w14:val="tx1"/>
            </w14:solidFill>
          </w14:textFill>
        </w:rPr>
        <w:t>30多</w:t>
      </w:r>
      <w:r>
        <w:rPr>
          <w:rFonts w:hint="eastAsia" w:ascii="仿宋" w:hAnsi="仿宋" w:eastAsia="仿宋"/>
          <w:b w:val="0"/>
          <w:bCs w:val="0"/>
          <w:color w:val="000000" w:themeColor="text1"/>
          <w:sz w:val="32"/>
          <w:szCs w:val="32"/>
          <w:shd w:val="clear" w:color="auto" w:fill="FFFFFF"/>
          <w14:textFill>
            <w14:solidFill>
              <w14:schemeClr w14:val="tx1"/>
            </w14:solidFill>
          </w14:textFill>
        </w:rPr>
        <w:t>次</w:t>
      </w:r>
      <w:r>
        <w:rPr>
          <w:rFonts w:hint="eastAsia" w:ascii="仿宋" w:hAnsi="仿宋" w:eastAsia="仿宋"/>
          <w:b w:val="0"/>
          <w:bCs w:val="0"/>
          <w:color w:val="000000" w:themeColor="text1"/>
          <w:sz w:val="32"/>
          <w:szCs w:val="32"/>
          <w:shd w:val="clear" w:color="auto" w:fill="FFFFFF"/>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该指标标准分值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综上所述，根据评分标准，数量指标实际得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（2）质量指标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两</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公务接待标准合格率</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和“资金拨付程序规范性”。</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w:t>
      </w:r>
      <w:r>
        <w:rPr>
          <w:rFonts w:hint="eastAsia" w:ascii="仿宋" w:hAnsi="仿宋" w:eastAsia="仿宋" w:cs="仿宋"/>
          <w:color w:val="000000" w:themeColor="text1"/>
          <w:sz w:val="32"/>
          <w:szCs w:val="32"/>
          <w:highlight w:val="none"/>
          <w:lang w:eastAsia="zh-CN"/>
          <w14:textFill>
            <w14:solidFill>
              <w14:schemeClr w14:val="tx1"/>
            </w14:solidFill>
          </w14:textFill>
        </w:rPr>
        <w:t>公务接待标准合格率</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100%，该指标标准分值为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分。资金拨付程序规范</w:t>
      </w:r>
      <w:r>
        <w:rPr>
          <w:rFonts w:hint="eastAsia" w:ascii="仿宋" w:hAnsi="仿宋" w:eastAsia="仿宋" w:cs="仿宋"/>
          <w:color w:val="000000" w:themeColor="text1"/>
          <w:sz w:val="32"/>
          <w:szCs w:val="32"/>
          <w:highlight w:val="none"/>
          <w:lang w:eastAsia="zh-CN"/>
          <w14:textFill>
            <w14:solidFill>
              <w14:schemeClr w14:val="tx1"/>
            </w14:solidFill>
          </w14:textFill>
        </w:rPr>
        <w:t>，该项指标标准分值为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综上所述，根据评分标准，质量指标实际得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（3）时效指标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个三级指标“资金拨付及时率</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根据指标要求，资金拨付及时率为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bookmarkStart w:id="44" w:name="_Hlk79160389"/>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bookmarkEnd w:id="44"/>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年项目财政资金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万元，实际支出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万元，未超出预算批复金额，因此该项指标标准分值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5" w:name="_Toc79333448"/>
      <w:r>
        <w:rPr>
          <w:rFonts w:hint="eastAsia" w:ascii="仿宋" w:hAnsi="仿宋" w:eastAsia="仿宋" w:cs="仿宋"/>
          <w:color w:val="000000" w:themeColor="text1"/>
          <w:sz w:val="32"/>
          <w:szCs w:val="32"/>
          <w:highlight w:val="none"/>
          <w14:textFill>
            <w14:solidFill>
              <w14:schemeClr w14:val="tx1"/>
            </w14:solidFill>
          </w14:textFill>
        </w:rPr>
        <w:t>3、效益指标分析</w:t>
      </w:r>
      <w:bookmarkEnd w:id="4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14:textFill>
            <w14:solidFill>
              <w14:schemeClr w14:val="tx1"/>
            </w14:solidFill>
          </w14:textFill>
        </w:rPr>
        <w:t>个二级指标，为“社会效益”</w:t>
      </w:r>
      <w:r>
        <w:rPr>
          <w:rFonts w:hint="eastAsia" w:ascii="仿宋" w:hAnsi="仿宋" w:eastAsia="仿宋" w:cs="仿宋"/>
          <w:color w:val="000000" w:themeColor="text1"/>
          <w:sz w:val="32"/>
          <w:szCs w:val="32"/>
          <w:highlight w:val="none"/>
          <w:lang w:val="en-US" w:eastAsia="zh-CN"/>
          <w14:textFill>
            <w14:solidFill>
              <w14:schemeClr w14:val="tx1"/>
            </w14:solidFill>
          </w14:textFill>
        </w:rPr>
        <w:t>和“可持续影响指标”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保障接待工作</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和“宣传太康先进工作经验”</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我单位依照工作要求，已完成年度主要工作，保障接待工作、宣传太康先进工作经验</w:t>
      </w:r>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分，实际综合得分为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18</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持续提升先进工作经验</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我单位根据当前培训实际情况，健全长效接待工作机制，“持续提升先进工作经验”该指标标准分值为10分，实际综合得分为9分。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w:t>
      </w:r>
      <w:r>
        <w:rPr>
          <w:rFonts w:hint="eastAsia" w:ascii="仿宋" w:hAnsi="仿宋" w:eastAsia="仿宋" w:cs="仿宋"/>
          <w:color w:val="000000" w:themeColor="text1"/>
          <w:sz w:val="32"/>
          <w:szCs w:val="32"/>
          <w:highlight w:val="none"/>
          <w:lang w:val="en-US" w:eastAsia="zh-CN"/>
          <w14:textFill>
            <w14:solidFill>
              <w14:schemeClr w14:val="tx1"/>
            </w14:solidFill>
          </w14:textFill>
        </w:rPr>
        <w:t>效益</w:t>
      </w:r>
      <w:r>
        <w:rPr>
          <w:rFonts w:hint="eastAsia" w:ascii="仿宋" w:hAnsi="仿宋" w:eastAsia="仿宋" w:cs="仿宋"/>
          <w:color w:val="000000" w:themeColor="text1"/>
          <w:sz w:val="32"/>
          <w:szCs w:val="32"/>
          <w:highlight w:val="none"/>
          <w14:textFill>
            <w14:solidFill>
              <w14:schemeClr w14:val="tx1"/>
            </w14:solidFill>
          </w14:textFill>
        </w:rPr>
        <w:t>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27</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6" w:name="_Toc79333449"/>
      <w:r>
        <w:rPr>
          <w:rFonts w:hint="eastAsia" w:ascii="仿宋" w:hAnsi="仿宋" w:eastAsia="仿宋" w:cs="仿宋"/>
          <w:color w:val="000000" w:themeColor="text1"/>
          <w:sz w:val="32"/>
          <w:szCs w:val="32"/>
          <w:highlight w:val="none"/>
          <w14:textFill>
            <w14:solidFill>
              <w14:schemeClr w14:val="tx1"/>
            </w14:solidFill>
          </w14:textFill>
        </w:rPr>
        <w:t>4、满意度指标分析</w:t>
      </w:r>
      <w:bookmarkEnd w:id="4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满意度：本项目调查</w:t>
      </w:r>
      <w:r>
        <w:rPr>
          <w:rFonts w:hint="eastAsia" w:ascii="仿宋" w:hAnsi="仿宋" w:eastAsia="仿宋" w:cs="仿宋"/>
          <w:color w:val="000000" w:themeColor="text1"/>
          <w:sz w:val="32"/>
          <w:szCs w:val="32"/>
          <w:highlight w:val="none"/>
          <w:lang w:val="en-US" w:eastAsia="zh-CN"/>
          <w14:textFill>
            <w14:solidFill>
              <w14:schemeClr w14:val="tx1"/>
            </w14:solidFill>
          </w14:textFill>
        </w:rPr>
        <w:t>群众</w:t>
      </w:r>
      <w:r>
        <w:rPr>
          <w:rFonts w:hint="eastAsia" w:ascii="仿宋" w:hAnsi="仿宋" w:eastAsia="仿宋" w:cs="仿宋"/>
          <w:color w:val="000000" w:themeColor="text1"/>
          <w:sz w:val="32"/>
          <w:szCs w:val="32"/>
          <w:highlight w:val="none"/>
          <w14:textFill>
            <w14:solidFill>
              <w14:schemeClr w14:val="tx1"/>
            </w14:solidFill>
          </w14:textFill>
        </w:rPr>
        <w:t>，发放调查问卷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47</w:t>
      </w:r>
      <w:r>
        <w:rPr>
          <w:rFonts w:hint="eastAsia" w:ascii="仿宋" w:hAnsi="仿宋" w:eastAsia="仿宋" w:cs="仿宋"/>
          <w:color w:val="000000" w:themeColor="text1"/>
          <w:sz w:val="32"/>
          <w:szCs w:val="32"/>
          <w:highlight w:val="none"/>
          <w14:textFill>
            <w14:solidFill>
              <w14:schemeClr w14:val="tx1"/>
            </w14:solidFill>
          </w14:textFill>
        </w:rPr>
        <w:t>份，回收</w:t>
      </w:r>
      <w:r>
        <w:rPr>
          <w:rFonts w:hint="eastAsia" w:ascii="仿宋" w:hAnsi="仿宋" w:eastAsia="仿宋" w:cs="仿宋"/>
          <w:color w:val="000000" w:themeColor="text1"/>
          <w:sz w:val="32"/>
          <w:szCs w:val="32"/>
          <w:highlight w:val="none"/>
          <w:lang w:val="en-US" w:eastAsia="zh-CN"/>
          <w14:textFill>
            <w14:solidFill>
              <w14:schemeClr w14:val="tx1"/>
            </w14:solidFill>
          </w14:textFill>
        </w:rPr>
        <w:t>47</w:t>
      </w:r>
      <w:r>
        <w:rPr>
          <w:rFonts w:hint="eastAsia" w:ascii="仿宋" w:hAnsi="仿宋" w:eastAsia="仿宋" w:cs="仿宋"/>
          <w:color w:val="000000" w:themeColor="text1"/>
          <w:sz w:val="32"/>
          <w:szCs w:val="32"/>
          <w:highlight w:val="none"/>
          <w14:textFill>
            <w14:solidFill>
              <w14:schemeClr w14:val="tx1"/>
            </w14:solidFill>
          </w14:textFill>
        </w:rPr>
        <w:t>份，其中有效问卷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47</w:t>
      </w:r>
      <w:r>
        <w:rPr>
          <w:rFonts w:hint="eastAsia" w:ascii="仿宋" w:hAnsi="仿宋" w:eastAsia="仿宋" w:cs="仿宋"/>
          <w:color w:val="000000" w:themeColor="text1"/>
          <w:sz w:val="32"/>
          <w:szCs w:val="32"/>
          <w:highlight w:val="none"/>
          <w14:textFill>
            <w14:solidFill>
              <w14:schemeClr w14:val="tx1"/>
            </w14:solidFill>
          </w14:textFill>
        </w:rPr>
        <w:t>份。其中非常满意人数</w:t>
      </w:r>
      <w:r>
        <w:rPr>
          <w:rFonts w:hint="eastAsia" w:ascii="仿宋" w:hAnsi="仿宋" w:eastAsia="仿宋" w:cs="仿宋"/>
          <w:color w:val="000000" w:themeColor="text1"/>
          <w:sz w:val="32"/>
          <w:szCs w:val="32"/>
          <w:highlight w:val="none"/>
          <w:lang w:val="en-US" w:eastAsia="zh-CN"/>
          <w14:textFill>
            <w14:solidFill>
              <w14:schemeClr w14:val="tx1"/>
            </w14:solidFill>
          </w14:textFill>
        </w:rPr>
        <w:t>47</w:t>
      </w:r>
      <w:r>
        <w:rPr>
          <w:rFonts w:hint="eastAsia" w:ascii="仿宋" w:hAnsi="仿宋" w:eastAsia="仿宋" w:cs="仿宋"/>
          <w:color w:val="000000" w:themeColor="text1"/>
          <w:sz w:val="32"/>
          <w:szCs w:val="32"/>
          <w:highlight w:val="none"/>
          <w14:textFill>
            <w14:solidFill>
              <w14:schemeClr w14:val="tx1"/>
            </w14:solidFill>
          </w14:textFill>
        </w:rPr>
        <w:t>人，满意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人，不满意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人，综合满意度为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%，根据评分标准，该项指标标准分值1</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7" w:name="_Toc79333450"/>
      <w:bookmarkStart w:id="48" w:name="_Toc29830"/>
      <w:bookmarkStart w:id="49" w:name="_Toc1306"/>
      <w:r>
        <w:rPr>
          <w:rFonts w:hint="eastAsia" w:ascii="仿宋" w:hAnsi="仿宋" w:eastAsia="仿宋" w:cs="仿宋"/>
          <w:color w:val="000000" w:themeColor="text1"/>
          <w:sz w:val="32"/>
          <w:szCs w:val="32"/>
          <w:highlight w:val="none"/>
          <w14:textFill>
            <w14:solidFill>
              <w14:schemeClr w14:val="tx1"/>
            </w14:solidFill>
          </w14:textFill>
        </w:rPr>
        <w:t>四、</w:t>
      </w:r>
      <w:bookmarkEnd w:id="47"/>
      <w:bookmarkEnd w:id="48"/>
      <w:r>
        <w:rPr>
          <w:rFonts w:hint="eastAsia" w:ascii="仿宋" w:hAnsi="仿宋" w:eastAsia="仿宋" w:cs="仿宋"/>
          <w:color w:val="000000" w:themeColor="text1"/>
          <w:sz w:val="32"/>
          <w:szCs w:val="32"/>
          <w:highlight w:val="none"/>
          <w14:textFill>
            <w14:solidFill>
              <w14:schemeClr w14:val="tx1"/>
            </w14:solidFill>
          </w14:textFill>
        </w:rPr>
        <w:t>自评发现的问题及整改措施</w:t>
      </w:r>
      <w:bookmarkEnd w:id="49"/>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0" w:name="_Toc32189"/>
      <w:bookmarkStart w:id="51" w:name="_Toc79333452"/>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）项目存在的问题</w:t>
      </w:r>
      <w:bookmarkEnd w:id="50"/>
      <w:bookmarkEnd w:id="51"/>
    </w:p>
    <w:p>
      <w:pPr>
        <w:pStyle w:val="8"/>
        <w:bidi w:val="0"/>
        <w:rPr>
          <w:rFonts w:hint="eastAsia" w:ascii="仿宋" w:hAnsi="仿宋" w:eastAsia="仿宋" w:cs="仿宋"/>
          <w:sz w:val="32"/>
          <w:szCs w:val="32"/>
          <w:lang w:eastAsia="zh-CN"/>
        </w:rPr>
      </w:pPr>
      <w:r>
        <w:rPr>
          <w:rFonts w:hint="eastAsia" w:ascii="仿宋" w:hAnsi="仿宋" w:eastAsia="仿宋" w:cs="仿宋"/>
          <w:sz w:val="32"/>
          <w:szCs w:val="32"/>
          <w:lang w:eastAsia="zh-CN"/>
        </w:rPr>
        <w:t>由于</w:t>
      </w:r>
      <w:r>
        <w:rPr>
          <w:rFonts w:hint="eastAsia" w:ascii="仿宋" w:hAnsi="仿宋" w:eastAsia="仿宋" w:cs="仿宋"/>
          <w:sz w:val="32"/>
          <w:szCs w:val="32"/>
        </w:rPr>
        <w:t>接待活动无法</w:t>
      </w:r>
      <w:r>
        <w:rPr>
          <w:rFonts w:hint="eastAsia" w:ascii="仿宋" w:hAnsi="仿宋" w:eastAsia="仿宋" w:cs="仿宋"/>
          <w:sz w:val="32"/>
          <w:szCs w:val="32"/>
          <w:lang w:eastAsia="zh-CN"/>
        </w:rPr>
        <w:t>完全</w:t>
      </w:r>
      <w:r>
        <w:rPr>
          <w:rFonts w:hint="eastAsia" w:ascii="仿宋" w:hAnsi="仿宋" w:eastAsia="仿宋" w:cs="仿宋"/>
          <w:sz w:val="32"/>
          <w:szCs w:val="32"/>
        </w:rPr>
        <w:t>预见把控，</w:t>
      </w:r>
      <w:r>
        <w:rPr>
          <w:rFonts w:hint="eastAsia" w:ascii="仿宋" w:hAnsi="仿宋" w:eastAsia="仿宋" w:cs="仿宋"/>
          <w:sz w:val="32"/>
          <w:szCs w:val="32"/>
          <w:lang w:eastAsia="zh-CN"/>
        </w:rPr>
        <w:t>其次</w:t>
      </w:r>
      <w:r>
        <w:rPr>
          <w:rFonts w:hint="eastAsia" w:ascii="仿宋" w:hAnsi="仿宋" w:eastAsia="仿宋" w:cs="仿宋"/>
          <w:sz w:val="32"/>
          <w:szCs w:val="32"/>
        </w:rPr>
        <w:t>受新冠肺炎疫情影响，接待活动较往年大幅减少</w:t>
      </w:r>
      <w:r>
        <w:rPr>
          <w:rFonts w:hint="eastAsia" w:ascii="仿宋" w:hAnsi="仿宋" w:eastAsia="仿宋" w:cs="仿宋"/>
          <w:sz w:val="32"/>
          <w:szCs w:val="32"/>
          <w:lang w:eastAsia="zh-CN"/>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我单位在进行绩效自评工作时，发现由于前期绩效管理意识薄弱，未及时对项目全部资料进行梳理备案统一保管，出现资料不全问题，导致项目自评依据不完整，评价结果不够准确。</w:t>
      </w: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bookmarkStart w:id="52" w:name="_Toc9152"/>
      <w:bookmarkStart w:id="53" w:name="_Toc79333454"/>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整改措施</w:t>
      </w:r>
      <w:bookmarkEnd w:id="52"/>
    </w:p>
    <w:bookmarkEnd w:id="53"/>
    <w:p>
      <w:pPr>
        <w:pStyle w:val="3"/>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bookmarkStart w:id="54" w:name="_Toc6113"/>
      <w:r>
        <w:rPr>
          <w:rFonts w:hint="eastAsia" w:ascii="仿宋" w:hAnsi="仿宋" w:eastAsia="仿宋" w:cs="仿宋"/>
          <w:sz w:val="32"/>
          <w:szCs w:val="32"/>
        </w:rPr>
        <w:t>一是进一步健全和完善财务管理制度和内部控制制度，创新管理手段，用新思路、新方法改进完善财务管理方法。</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二是按照财政支出绩效管理的要求，切实加快预算执行进度，提高资金使用效率，实现预算编制与实际工作内容相匹配。</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三是加强部门预算整体绩效管理的指导和培训，增强提高绩效管理业务人员绩效管理能力、专业素质和思想水平。</w:t>
      </w:r>
    </w:p>
    <w:p>
      <w:pPr>
        <w:pStyle w:val="5"/>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绩效自评工作建议及预算安排建议</w:t>
      </w:r>
      <w:bookmarkEnd w:id="54"/>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是要进一步健全专项资金绩效管理机制，积极推进专项资金绩效评价工作有效开展，切实做到“花钱必问效，无效必问责”。二是要加强人员培训，强化全员绩效管理意识，为推进预算绩效管理提供人才储备。三是要科学制定绩效目标，参照历史数据、行业标准、计划标准等数据资料，设置指向明确、细化量化、合理可行、相应匹配的绩效目标，为后期开展绩效监控和评价提供基础支撑。</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5" w:name="_Toc79333457"/>
      <w:bookmarkStart w:id="56" w:name="_Toc1841"/>
      <w:bookmarkStart w:id="57" w:name="_Toc665"/>
      <w:r>
        <w:rPr>
          <w:rFonts w:hint="eastAsia" w:ascii="仿宋" w:hAnsi="仿宋" w:eastAsia="仿宋" w:cs="仿宋"/>
          <w:color w:val="000000" w:themeColor="text1"/>
          <w:sz w:val="32"/>
          <w:szCs w:val="32"/>
          <w:highlight w:val="none"/>
          <w14:textFill>
            <w14:solidFill>
              <w14:schemeClr w14:val="tx1"/>
            </w14:solidFill>
          </w14:textFill>
        </w:rPr>
        <w:t>六、其他需要说明的问题</w:t>
      </w:r>
      <w:bookmarkEnd w:id="55"/>
      <w:bookmarkEnd w:id="56"/>
      <w:bookmarkEnd w:id="57"/>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需要说明的是：受多种因素影响，本次绩效自评工作还存在一定的局限性。定性指标考察受主观因素影响</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8" w:name="_Toc62030119"/>
      <w:bookmarkStart w:id="59" w:name="_Toc75871379"/>
      <w:bookmarkStart w:id="60" w:name="_Toc61882435"/>
      <w:bookmarkStart w:id="61" w:name="_Toc79333458"/>
      <w:bookmarkStart w:id="62" w:name="_Toc7064"/>
      <w:r>
        <w:rPr>
          <w:rFonts w:hint="eastAsia" w:ascii="仿宋" w:hAnsi="仿宋" w:eastAsia="仿宋" w:cs="仿宋"/>
          <w:color w:val="000000" w:themeColor="text1"/>
          <w:sz w:val="32"/>
          <w:szCs w:val="32"/>
          <w:highlight w:val="none"/>
          <w14:textFill>
            <w14:solidFill>
              <w14:schemeClr w14:val="tx1"/>
            </w14:solidFill>
          </w14:textFill>
        </w:rPr>
        <w:t>七、附件</w:t>
      </w:r>
      <w:bookmarkEnd w:id="58"/>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附件一：项目绩效自评表</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0" w:num="1"/>
          <w:docGrid w:linePitch="312" w:charSpace="0"/>
        </w:sectPr>
      </w:pPr>
    </w:p>
    <w:p>
      <w:pPr>
        <w:pStyle w:val="6"/>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3" w:name="_Toc79333459"/>
      <w:bookmarkStart w:id="64" w:name="_Toc9995"/>
      <w:bookmarkStart w:id="65" w:name="_Toc62030120"/>
      <w:bookmarkStart w:id="66" w:name="_Toc75871380"/>
      <w:bookmarkStart w:id="67" w:name="_Toc61882642"/>
      <w:r>
        <w:rPr>
          <w:rFonts w:hint="eastAsia" w:ascii="仿宋" w:hAnsi="仿宋" w:eastAsia="仿宋" w:cs="仿宋"/>
          <w:color w:val="000000" w:themeColor="text1"/>
          <w:sz w:val="32"/>
          <w:szCs w:val="32"/>
          <w:highlight w:val="none"/>
          <w14:textFill>
            <w14:solidFill>
              <w14:schemeClr w14:val="tx1"/>
            </w14:solidFill>
          </w14:textFill>
        </w:rPr>
        <w:t>附件一：项目绩效自评表</w:t>
      </w:r>
      <w:bookmarkEnd w:id="63"/>
      <w:bookmarkEnd w:id="64"/>
      <w:bookmarkEnd w:id="65"/>
      <w:bookmarkEnd w:id="66"/>
      <w:bookmarkEnd w:id="67"/>
    </w:p>
    <w:tbl>
      <w:tblPr>
        <w:tblStyle w:val="17"/>
        <w:tblW w:w="0" w:type="auto"/>
        <w:tblInd w:w="0" w:type="dxa"/>
        <w:shd w:val="clear" w:color="auto" w:fill="auto"/>
        <w:tblLayout w:type="autofit"/>
        <w:tblCellMar>
          <w:top w:w="0" w:type="dxa"/>
          <w:left w:w="0" w:type="dxa"/>
          <w:bottom w:w="0" w:type="dxa"/>
          <w:right w:w="0" w:type="dxa"/>
        </w:tblCellMar>
      </w:tblPr>
      <w:tblGrid>
        <w:gridCol w:w="1064"/>
        <w:gridCol w:w="2055"/>
        <w:gridCol w:w="2005"/>
        <w:gridCol w:w="2124"/>
        <w:gridCol w:w="1201"/>
        <w:gridCol w:w="2035"/>
        <w:gridCol w:w="240"/>
        <w:gridCol w:w="230"/>
        <w:gridCol w:w="863"/>
        <w:gridCol w:w="1308"/>
        <w:gridCol w:w="863"/>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接待经费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太康县政协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太康县政协</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20" w:lineRule="exact"/>
              <w:jc w:val="center"/>
              <w:rPr>
                <w:rFonts w:hint="eastAsia" w:ascii="仿宋" w:hAnsi="仿宋" w:eastAsia="仿宋" w:cs="宋体"/>
                <w:color w:val="333333"/>
                <w:kern w:val="0"/>
                <w:sz w:val="20"/>
                <w:szCs w:val="20"/>
                <w:lang w:val="en-US" w:eastAsia="zh-CN"/>
              </w:rPr>
            </w:pPr>
            <w:r>
              <w:rPr>
                <w:rFonts w:hint="eastAsia" w:ascii="仿宋" w:hAnsi="仿宋" w:eastAsia="仿宋" w:cs="宋体"/>
                <w:color w:val="333333"/>
                <w:kern w:val="0"/>
                <w:sz w:val="20"/>
                <w:szCs w:val="20"/>
                <w:lang w:val="en-US" w:eastAsia="zh-CN"/>
              </w:rPr>
              <w:t>按照中央八项规定，强化制度保障，规范接待管理，保障省市及兄弟县区来太调研视察及相关工作的正常接待运行。</w:t>
            </w:r>
          </w:p>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ind w:firstLine="420" w:firstLineChars="200"/>
              <w:rPr>
                <w:rFonts w:hint="eastAsia" w:ascii="Calibri" w:hAnsi="Calibri" w:cs="Calibri"/>
                <w:sz w:val="21"/>
                <w:szCs w:val="21"/>
                <w:lang w:val="en-US" w:eastAsia="zh-CN"/>
              </w:rPr>
            </w:pPr>
            <w:r>
              <w:rPr>
                <w:rFonts w:hint="eastAsia" w:ascii="仿宋" w:hAnsi="仿宋" w:eastAsia="仿宋" w:cs="Arial"/>
                <w:color w:val="000000" w:themeColor="text1"/>
                <w:sz w:val="21"/>
                <w:szCs w:val="21"/>
                <w:shd w:val="clear" w:color="auto" w:fill="FFFFFF"/>
                <w:lang w:eastAsia="zh-CN"/>
                <w14:textFill>
                  <w14:solidFill>
                    <w14:schemeClr w14:val="tx1"/>
                  </w14:solidFill>
                </w14:textFill>
              </w:rPr>
              <w:t>完成接待工作“</w:t>
            </w:r>
            <w:r>
              <w:rPr>
                <w:rFonts w:ascii="仿宋" w:hAnsi="仿宋" w:eastAsia="仿宋" w:cs="Arial"/>
                <w:color w:val="000000" w:themeColor="text1"/>
                <w:sz w:val="21"/>
                <w:szCs w:val="21"/>
                <w:shd w:val="clear" w:color="auto" w:fill="FFFFFF"/>
                <w14:textFill>
                  <w14:solidFill>
                    <w14:schemeClr w14:val="tx1"/>
                  </w14:solidFill>
                </w14:textFill>
              </w:rPr>
              <w:t>委员之家</w:t>
            </w:r>
            <w:r>
              <w:rPr>
                <w:rFonts w:hint="eastAsia" w:ascii="仿宋" w:hAnsi="仿宋" w:eastAsia="仿宋" w:cs="Arial"/>
                <w:color w:val="000000" w:themeColor="text1"/>
                <w:sz w:val="21"/>
                <w:szCs w:val="21"/>
                <w:shd w:val="clear" w:color="auto" w:fill="FFFFFF"/>
                <w:lang w:eastAsia="zh-CN"/>
                <w14:textFill>
                  <w14:solidFill>
                    <w14:schemeClr w14:val="tx1"/>
                  </w14:solidFill>
                </w14:textFill>
              </w:rPr>
              <w:t>”</w:t>
            </w:r>
            <w:r>
              <w:rPr>
                <w:rFonts w:hint="eastAsia" w:ascii="仿宋" w:hAnsi="仿宋" w:eastAsia="仿宋"/>
                <w:b w:val="0"/>
                <w:bCs w:val="0"/>
                <w:color w:val="000000" w:themeColor="text1"/>
                <w:sz w:val="21"/>
                <w:szCs w:val="21"/>
                <w:shd w:val="clear" w:color="auto" w:fill="FFFFFF"/>
                <w14:textFill>
                  <w14:solidFill>
                    <w14:schemeClr w14:val="tx1"/>
                  </w14:solidFill>
                </w14:textFill>
              </w:rPr>
              <w:t>共接纳委员</w:t>
            </w:r>
            <w:r>
              <w:rPr>
                <w:rFonts w:hint="eastAsia" w:ascii="仿宋" w:hAnsi="仿宋" w:eastAsia="仿宋"/>
                <w:b w:val="0"/>
                <w:bCs w:val="0"/>
                <w:color w:val="000000" w:themeColor="text1"/>
                <w:sz w:val="21"/>
                <w:szCs w:val="21"/>
                <w:shd w:val="clear" w:color="auto" w:fill="FFFFFF"/>
                <w:lang w:val="en-US" w:eastAsia="zh-CN"/>
                <w14:textFill>
                  <w14:solidFill>
                    <w14:schemeClr w14:val="tx1"/>
                  </w14:solidFill>
                </w14:textFill>
              </w:rPr>
              <w:t>730</w:t>
            </w:r>
            <w:r>
              <w:rPr>
                <w:rFonts w:hint="eastAsia" w:ascii="仿宋" w:hAnsi="仿宋" w:eastAsia="仿宋"/>
                <w:b w:val="0"/>
                <w:bCs w:val="0"/>
                <w:color w:val="000000" w:themeColor="text1"/>
                <w:sz w:val="21"/>
                <w:szCs w:val="21"/>
                <w:shd w:val="clear" w:color="auto" w:fill="FFFFFF"/>
                <w14:textFill>
                  <w14:solidFill>
                    <w14:schemeClr w14:val="tx1"/>
                  </w14:solidFill>
                </w14:textFill>
              </w:rPr>
              <w:t>人次，开展活动</w:t>
            </w:r>
            <w:r>
              <w:rPr>
                <w:rFonts w:hint="eastAsia" w:ascii="仿宋" w:hAnsi="仿宋" w:eastAsia="仿宋"/>
                <w:b w:val="0"/>
                <w:bCs w:val="0"/>
                <w:color w:val="000000" w:themeColor="text1"/>
                <w:sz w:val="21"/>
                <w:szCs w:val="21"/>
                <w:shd w:val="clear" w:color="auto" w:fill="FFFFFF"/>
                <w:lang w:val="en-US" w:eastAsia="zh-CN"/>
                <w14:textFill>
                  <w14:solidFill>
                    <w14:schemeClr w14:val="tx1"/>
                  </w14:solidFill>
                </w14:textFill>
              </w:rPr>
              <w:t>30多</w:t>
            </w:r>
            <w:bookmarkStart w:id="68" w:name="_GoBack"/>
            <w:bookmarkEnd w:id="68"/>
            <w:r>
              <w:rPr>
                <w:rFonts w:hint="eastAsia" w:ascii="仿宋" w:hAnsi="仿宋" w:eastAsia="仿宋"/>
                <w:b w:val="0"/>
                <w:bCs w:val="0"/>
                <w:color w:val="000000" w:themeColor="text1"/>
                <w:sz w:val="21"/>
                <w:szCs w:val="21"/>
                <w:shd w:val="clear" w:color="auto" w:fill="FFFFFF"/>
                <w14:textFill>
                  <w14:solidFill>
                    <w14:schemeClr w14:val="tx1"/>
                  </w14:solidFill>
                </w14:textFill>
              </w:rPr>
              <w:t>次</w:t>
            </w:r>
            <w:r>
              <w:rPr>
                <w:rFonts w:hint="eastAsia" w:ascii="仿宋" w:hAnsi="仿宋" w:eastAsia="仿宋"/>
                <w:b w:val="0"/>
                <w:bCs w:val="0"/>
                <w:color w:val="000000" w:themeColor="text1"/>
                <w:sz w:val="21"/>
                <w:szCs w:val="21"/>
                <w:shd w:val="clear" w:color="auto" w:fill="FFFFFF"/>
                <w:lang w:eastAsia="zh-CN"/>
                <w14:textFill>
                  <w14:solidFill>
                    <w14:schemeClr w14:val="tx1"/>
                  </w14:solidFill>
                </w14:textFill>
              </w:rPr>
              <w:t>。</w:t>
            </w:r>
          </w:p>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绩效指标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二级指标</w:t>
            </w:r>
          </w:p>
        </w:tc>
        <w:tc>
          <w:tcPr>
            <w:tcW w:w="0" w:type="auto"/>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三级指标</w:t>
            </w:r>
          </w:p>
        </w:tc>
        <w:tc>
          <w:tcPr>
            <w:tcW w:w="0" w:type="auto"/>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年度指标值</w:t>
            </w:r>
          </w:p>
        </w:tc>
        <w:tc>
          <w:tcPr>
            <w:tcW w:w="0" w:type="auto"/>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实际完成值</w:t>
            </w:r>
          </w:p>
        </w:tc>
        <w:tc>
          <w:tcPr>
            <w:tcW w:w="0" w:type="auto"/>
            <w:gridSpan w:val="2"/>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产出指标（50分）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数量指标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公务接待</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80次</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80次</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公务接待标准合格率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资金拨付程序规范性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规范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社会效益</w:t>
            </w:r>
            <w:r>
              <w:rPr>
                <w:rFonts w:hint="eastAsia" w:ascii="仿宋" w:hAnsi="仿宋" w:eastAsia="仿宋" w:cs="仿宋"/>
                <w:sz w:val="24"/>
                <w:szCs w:val="24"/>
                <w:lang w:val="en-US" w:eastAsia="zh-CN"/>
              </w:rPr>
              <w:br w:type="textWrapping"/>
            </w:r>
            <w:r>
              <w:rPr>
                <w:rFonts w:hint="eastAsia" w:ascii="仿宋" w:hAnsi="仿宋" w:eastAsia="仿宋" w:cs="仿宋"/>
                <w:sz w:val="24"/>
                <w:szCs w:val="24"/>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保障接待工作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宣传太康先进工作经验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宣传</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宣传</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4"/>
                <w:szCs w:val="24"/>
                <w:lang w:val="en-US" w:eastAsia="zh-CN"/>
              </w:rPr>
            </w:pPr>
            <w:r>
              <w:rPr>
                <w:rFonts w:hint="eastAsia" w:ascii="仿宋" w:hAnsi="仿宋" w:eastAsia="仿宋" w:cs="仿宋"/>
                <w:sz w:val="24"/>
                <w:szCs w:val="24"/>
                <w:lang w:eastAsia="zh-CN"/>
              </w:rPr>
              <w:t>持续提升先进工作经验</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持续提升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来访人员满意度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96%</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r>
        <w:tblPrEx>
          <w:shd w:val="clear" w:color="auto" w:fill="auto"/>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97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4"/>
                <w:szCs w:val="24"/>
              </w:rPr>
            </w:pPr>
          </w:p>
        </w:tc>
      </w:tr>
    </w:tbl>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sectPr>
      <w:footerReference r:id="rId5"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9"/>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9"/>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A7ACFD"/>
    <w:multiLevelType w:val="singleLevel"/>
    <w:tmpl w:val="C4A7ACFD"/>
    <w:lvl w:ilvl="0" w:tentative="0">
      <w:start w:val="5"/>
      <w:numFmt w:val="chineseCounting"/>
      <w:suff w:val="nothing"/>
      <w:lvlText w:val="%1、"/>
      <w:lvlJc w:val="left"/>
      <w:rPr>
        <w:rFonts w:hint="eastAsia"/>
      </w:rPr>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wZjUwYTE0NWM0N2UzOGI1YjVlZDcyZTk1ZjM2MjgifQ=="/>
  </w:docVars>
  <w:rsids>
    <w:rsidRoot w:val="00000000"/>
    <w:rsid w:val="152A3D76"/>
    <w:rsid w:val="1CFB543B"/>
    <w:rsid w:val="399824CA"/>
    <w:rsid w:val="5EEA38A0"/>
    <w:rsid w:val="65D6047B"/>
    <w:rsid w:val="68E24AEE"/>
    <w:rsid w:val="747B72D7"/>
    <w:rsid w:val="78C70264"/>
    <w:rsid w:val="7B9A41CF"/>
    <w:rsid w:val="7DDB10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5">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6">
    <w:name w:val="heading 2"/>
    <w:basedOn w:val="1"/>
    <w:next w:val="7"/>
    <w:unhideWhenUsed/>
    <w:qFormat/>
    <w:uiPriority w:val="9"/>
    <w:pPr>
      <w:keepNext/>
      <w:keepLines/>
      <w:ind w:firstLine="0" w:firstLineChars="0"/>
      <w:jc w:val="left"/>
      <w:outlineLvl w:val="1"/>
    </w:pPr>
    <w:rPr>
      <w:rFonts w:ascii="楷体" w:hAnsi="楷体" w:eastAsia="楷体" w:cstheme="majorBidi"/>
      <w:b/>
      <w:bCs/>
    </w:rPr>
  </w:style>
  <w:style w:type="paragraph" w:styleId="7">
    <w:name w:val="heading 3"/>
    <w:basedOn w:val="1"/>
    <w:next w:val="1"/>
    <w:unhideWhenUsed/>
    <w:qFormat/>
    <w:uiPriority w:val="9"/>
    <w:pPr>
      <w:keepNext/>
      <w:keepLines/>
      <w:ind w:firstLine="200"/>
      <w:jc w:val="left"/>
      <w:outlineLvl w:val="2"/>
    </w:pPr>
    <w:rPr>
      <w:rFonts w:ascii="宋体" w:hAnsi="宋体"/>
      <w:b/>
      <w:bCs/>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customStyle="1" w:styleId="2">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styleId="3">
    <w:name w:val="Body Text"/>
    <w:basedOn w:val="1"/>
    <w:next w:val="4"/>
    <w:qFormat/>
    <w:uiPriority w:val="0"/>
  </w:style>
  <w:style w:type="paragraph" w:customStyle="1" w:styleId="4">
    <w:name w:val="Body Text 21"/>
    <w:basedOn w:val="1"/>
    <w:qFormat/>
    <w:uiPriority w:val="0"/>
    <w:pPr>
      <w:spacing w:line="480" w:lineRule="auto"/>
    </w:pPr>
  </w:style>
  <w:style w:type="paragraph" w:styleId="8">
    <w:name w:val="Body Text Indent"/>
    <w:basedOn w:val="1"/>
    <w:unhideWhenUsed/>
    <w:qFormat/>
    <w:uiPriority w:val="99"/>
    <w:pPr>
      <w:spacing w:line="560" w:lineRule="exact"/>
      <w:ind w:firstLine="600"/>
    </w:pPr>
    <w:rPr>
      <w:rFonts w:ascii="仿宋_GB2312" w:hAnsi="仿宋_GB2312" w:eastAsia="仿宋_GB2312"/>
      <w:szCs w:val="3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styleId="13">
    <w:name w:val="Body Text 2"/>
    <w:basedOn w:val="1"/>
    <w:qFormat/>
    <w:uiPriority w:val="0"/>
    <w:pPr>
      <w:spacing w:after="40" w:line="560" w:lineRule="exact"/>
      <w:ind w:firstLine="0" w:firstLineChars="0"/>
      <w:jc w:val="center"/>
    </w:pPr>
    <w:rPr>
      <w:b/>
      <w:bCs/>
    </w:rPr>
  </w:style>
  <w:style w:type="paragraph" w:styleId="14">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5">
    <w:name w:val="Body Text First Indent"/>
    <w:basedOn w:val="3"/>
    <w:next w:val="16"/>
    <w:qFormat/>
    <w:uiPriority w:val="0"/>
    <w:pPr>
      <w:spacing w:line="240" w:lineRule="auto"/>
      <w:ind w:firstLine="0" w:firstLineChars="0"/>
      <w:jc w:val="center"/>
    </w:pPr>
    <w:rPr>
      <w:rFonts w:ascii="Times New Roman" w:hAnsi="Times New Roman" w:eastAsia="仿宋_GB2312"/>
      <w:sz w:val="24"/>
      <w:szCs w:val="24"/>
    </w:rPr>
  </w:style>
  <w:style w:type="paragraph" w:styleId="16">
    <w:name w:val="Body Text First Indent 2"/>
    <w:basedOn w:val="8"/>
    <w:semiHidden/>
    <w:unhideWhenUsed/>
    <w:qFormat/>
    <w:uiPriority w:val="99"/>
    <w:pPr>
      <w:spacing w:line="240" w:lineRule="auto"/>
      <w:ind w:firstLine="0" w:firstLineChars="0"/>
    </w:pPr>
    <w:rPr>
      <w:rFonts w:ascii="Times New Roman" w:hAnsi="Times New Roman"/>
      <w:sz w:val="28"/>
      <w:szCs w:val="28"/>
    </w:rPr>
  </w:style>
  <w:style w:type="character" w:styleId="19">
    <w:name w:val="FollowedHyperlink"/>
    <w:basedOn w:val="18"/>
    <w:uiPriority w:val="0"/>
    <w:rPr>
      <w:color w:val="333333"/>
      <w:u w:val="none"/>
    </w:rPr>
  </w:style>
  <w:style w:type="character" w:styleId="20">
    <w:name w:val="Emphasis"/>
    <w:basedOn w:val="18"/>
    <w:qFormat/>
    <w:uiPriority w:val="0"/>
  </w:style>
  <w:style w:type="character" w:styleId="21">
    <w:name w:val="Hyperlink"/>
    <w:basedOn w:val="18"/>
    <w:uiPriority w:val="0"/>
    <w:rPr>
      <w:color w:val="333333"/>
      <w:u w:val="none"/>
    </w:rPr>
  </w:style>
  <w:style w:type="paragraph" w:customStyle="1" w:styleId="22">
    <w:name w:val="版权所有"/>
    <w:basedOn w:val="1"/>
    <w:qFormat/>
    <w:uiPriority w:val="0"/>
    <w:pPr>
      <w:ind w:firstLine="0" w:firstLineChars="0"/>
      <w:jc w:val="center"/>
    </w:pPr>
  </w:style>
  <w:style w:type="paragraph" w:customStyle="1" w:styleId="23">
    <w:name w:val="昭元绩效"/>
    <w:basedOn w:val="1"/>
    <w:qFormat/>
    <w:uiPriority w:val="0"/>
    <w:pPr>
      <w:spacing w:line="360" w:lineRule="auto"/>
      <w:ind w:firstLine="0" w:firstLineChars="0"/>
      <w:jc w:val="center"/>
    </w:pPr>
    <w:rPr>
      <w:rFonts w:eastAsia="宋体"/>
      <w:b/>
      <w:bCs/>
      <w:sz w:val="44"/>
      <w:szCs w:val="44"/>
    </w:rPr>
  </w:style>
  <w:style w:type="paragraph" w:customStyle="1" w:styleId="24">
    <w:name w:val="表头"/>
    <w:basedOn w:val="1"/>
    <w:next w:val="1"/>
    <w:qFormat/>
    <w:uiPriority w:val="0"/>
    <w:pPr>
      <w:spacing w:before="100" w:after="100"/>
      <w:jc w:val="center"/>
    </w:pPr>
    <w:rPr>
      <w:rFonts w:ascii="Times New Roman" w:hAnsi="Times New Roman"/>
      <w:b/>
      <w:bCs/>
      <w:szCs w:val="28"/>
    </w:rPr>
  </w:style>
  <w:style w:type="paragraph" w:customStyle="1" w:styleId="25">
    <w:name w:val="表格"/>
    <w:basedOn w:val="1"/>
    <w:next w:val="1"/>
    <w:qFormat/>
    <w:uiPriority w:val="0"/>
    <w:pPr>
      <w:spacing w:line="240" w:lineRule="auto"/>
      <w:ind w:firstLine="0" w:firstLineChars="0"/>
      <w:jc w:val="center"/>
    </w:pPr>
    <w:rPr>
      <w:rFonts w:ascii="Times New Roman" w:hAnsi="Times New Roman"/>
      <w:sz w:val="24"/>
      <w:szCs w:val="24"/>
    </w:rPr>
  </w:style>
  <w:style w:type="character" w:customStyle="1" w:styleId="26">
    <w:name w:val="yzm"/>
    <w:basedOn w:val="18"/>
    <w:uiPriority w:val="0"/>
  </w:style>
  <w:style w:type="character" w:customStyle="1" w:styleId="27">
    <w:name w:val="wx-space"/>
    <w:basedOn w:val="18"/>
    <w:uiPriority w:val="0"/>
  </w:style>
  <w:style w:type="character" w:customStyle="1" w:styleId="28">
    <w:name w:val="wx-space1"/>
    <w:basedOn w:val="18"/>
    <w:uiPriority w:val="0"/>
  </w:style>
  <w:style w:type="character" w:customStyle="1" w:styleId="29">
    <w:name w:val="before"/>
    <w:basedOn w:val="18"/>
    <w:uiPriority w:val="0"/>
    <w:rPr>
      <w:shd w:val="clear" w:fill="0281DF"/>
    </w:rPr>
  </w:style>
  <w:style w:type="character" w:customStyle="1" w:styleId="30">
    <w:name w:val="tgspan"/>
    <w:basedOn w:val="18"/>
    <w:uiPriority w:val="0"/>
  </w:style>
  <w:style w:type="character" w:customStyle="1" w:styleId="31">
    <w:name w:val="hover7"/>
    <w:basedOn w:val="18"/>
    <w:uiPriority w:val="0"/>
    <w:rPr>
      <w:color w:val="000000"/>
      <w:shd w:val="clear" w:fill="FFFFFF"/>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3970</Words>
  <Characters>4186</Characters>
  <Lines>0</Lines>
  <Paragraphs>0</Paragraphs>
  <TotalTime>4</TotalTime>
  <ScaleCrop>false</ScaleCrop>
  <LinksUpToDate>false</LinksUpToDate>
  <CharactersWithSpaces>4226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2022-06-18T02:32:00Z</dcterms:created>
  <dc:creator>Administrator</dc:creator>
  <cp:lastModifiedBy>lenovo</cp:lastModifiedBy>
  <dcterms:modified xsi:type="dcterms:W3CDTF">2022-08-26T08:27:30Z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D1FD65954E5F4F25BC32CB106E37706E</vt:lpwstr>
  </property>
</Properties>
</file>