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hint="eastAsia" w:ascii="宋体" w:hAnsi="宋体" w:cs="宋体"/>
          <w:sz w:val="52"/>
          <w:szCs w:val="52"/>
          <w:lang w:eastAsia="zh-CN"/>
        </w:rPr>
      </w:pPr>
      <w:r>
        <w:rPr>
          <w:rFonts w:hint="eastAsia" w:ascii="宋体" w:hAnsi="宋体" w:cs="宋体"/>
          <w:sz w:val="52"/>
          <w:szCs w:val="52"/>
          <w:lang w:eastAsia="zh-CN"/>
        </w:rPr>
        <w:t>太康县工商业联合会</w:t>
      </w:r>
    </w:p>
    <w:p>
      <w:pPr>
        <w:pStyle w:val="25"/>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办公经费</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5"/>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太康县工商业联合会</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7</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3"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79333430"/>
      <w:bookmarkStart w:id="2" w:name="_Toc11574"/>
      <w:r>
        <w:rPr>
          <w:rFonts w:hint="eastAsia"/>
        </w:rPr>
        <w:t>一、项目基本情况</w:t>
      </w:r>
      <w:bookmarkEnd w:id="0"/>
      <w:bookmarkEnd w:id="1"/>
      <w:bookmarkEnd w:id="2"/>
    </w:p>
    <w:p>
      <w:pPr>
        <w:pStyle w:val="4"/>
      </w:pPr>
      <w:bookmarkStart w:id="3" w:name="_Toc79333431"/>
      <w:bookmarkStart w:id="4" w:name="_Toc8110"/>
      <w:bookmarkStart w:id="5" w:name="_Toc9575"/>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pStyle w:val="5"/>
        <w:ind w:firstLine="643"/>
        <w:rPr>
          <w:rFonts w:hint="eastAsia"/>
          <w:lang w:val="en-US" w:eastAsia="zh-CN"/>
        </w:rPr>
      </w:pPr>
      <w:bookmarkStart w:id="7" w:name="_Toc79333433"/>
      <w:r>
        <w:rPr>
          <w:rFonts w:hint="eastAsia"/>
          <w:lang w:val="en-US" w:eastAsia="zh-CN"/>
        </w:rPr>
        <w:t>工商联主要是负责促进本县非公有制经济健康发展，促进非公有制经济人士健康成长，加强商会自身建设，加强和改进非公有制经济人士思想政治工作；参与政治协商，发挥民主监督作用，积极参政议政，协助政府管理和服务非公有制经济</w:t>
      </w:r>
    </w:p>
    <w:p>
      <w:pPr>
        <w:pStyle w:val="5"/>
        <w:ind w:firstLine="643"/>
      </w:pPr>
      <w:r>
        <w:rPr>
          <w:rFonts w:hint="eastAsia"/>
        </w:rPr>
        <w:t>2、项目实施内容</w:t>
      </w:r>
      <w:bookmarkEnd w:id="7"/>
    </w:p>
    <w:p>
      <w:pPr>
        <w:pStyle w:val="29"/>
        <w:bidi w:val="0"/>
        <w:rPr>
          <w:rFonts w:hint="eastAsia" w:ascii="Arial" w:hAnsi="Arial" w:eastAsia="宋体" w:cs="Arial"/>
          <w:i w:val="0"/>
          <w:iCs w:val="0"/>
          <w:caps w:val="0"/>
          <w:color w:val="404040"/>
          <w:spacing w:val="0"/>
          <w:sz w:val="27"/>
          <w:szCs w:val="27"/>
          <w:highlight w:val="none"/>
          <w:lang w:val="en-US" w:eastAsia="zh-CN"/>
        </w:rPr>
      </w:pPr>
      <w:bookmarkStart w:id="8" w:name="_Toc79333434"/>
      <w:bookmarkStart w:id="9" w:name="_Toc17607"/>
      <w:bookmarkStart w:id="10" w:name="_Toc14372"/>
      <w:r>
        <w:rPr>
          <w:rFonts w:hint="eastAsia"/>
          <w:highlight w:val="none"/>
          <w:lang w:eastAsia="zh-CN"/>
        </w:rPr>
        <w:t>企业考察、调研、交流，培育新型产业商会，探索建立商会退出机制，建立挂点联系基层党组织制度。</w:t>
      </w:r>
    </w:p>
    <w:p>
      <w:pPr>
        <w:pStyle w:val="4"/>
      </w:pPr>
      <w:r>
        <w:rPr>
          <w:rFonts w:hint="eastAsia"/>
        </w:rPr>
        <w:t>（二）项目支出情况</w:t>
      </w:r>
      <w:bookmarkEnd w:id="8"/>
      <w:bookmarkEnd w:id="9"/>
      <w:bookmarkEnd w:id="10"/>
    </w:p>
    <w:p>
      <w:pPr>
        <w:pStyle w:val="5"/>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26</w:t>
      </w:r>
      <w:r>
        <w:rPr>
          <w:rFonts w:hint="eastAsia"/>
          <w:highlight w:val="none"/>
        </w:rPr>
        <w:t>万元，当年实际执行</w:t>
      </w:r>
      <w:r>
        <w:rPr>
          <w:rFonts w:hint="eastAsia"/>
          <w:highlight w:val="none"/>
          <w:lang w:val="en-US" w:eastAsia="zh-CN"/>
        </w:rPr>
        <w:t>26</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18098"/>
      <w:bookmarkStart w:id="14" w:name="_Toc79333436"/>
      <w:r>
        <w:rPr>
          <w:rFonts w:hint="eastAsia"/>
        </w:rPr>
        <w:t>2、项目预算执行情况</w:t>
      </w:r>
      <w:bookmarkEnd w:id="13"/>
      <w:bookmarkEnd w:id="14"/>
    </w:p>
    <w:p>
      <w:pPr>
        <w:ind w:firstLine="640"/>
        <w:jc w:val="left"/>
        <w:rPr>
          <w:highlight w:val="none"/>
        </w:rPr>
      </w:pPr>
      <w:r>
        <w:rPr>
          <w:rFonts w:hint="eastAsia"/>
          <w:highlight w:val="none"/>
          <w:lang w:eastAsia="zh-CN"/>
        </w:rPr>
        <w:t>本项目经费，资金已按照年初预算拨付</w:t>
      </w:r>
      <w:r>
        <w:rPr>
          <w:rFonts w:hint="eastAsia"/>
          <w:highlight w:val="none"/>
          <w:lang w:val="en-US" w:eastAsia="zh-CN"/>
        </w:rPr>
        <w:t>26万元，</w:t>
      </w:r>
      <w:r>
        <w:rPr>
          <w:rFonts w:hint="eastAsia"/>
          <w:highlight w:val="none"/>
        </w:rPr>
        <w:t>项目实际支出</w:t>
      </w:r>
      <w:r>
        <w:rPr>
          <w:rFonts w:hint="eastAsia" w:cs="仿宋"/>
          <w:sz w:val="32"/>
          <w:szCs w:val="32"/>
          <w:highlight w:val="none"/>
          <w:lang w:val="en-US" w:eastAsia="zh-CN"/>
        </w:rPr>
        <w:t>26</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10420"/>
      <w:bookmarkStart w:id="16" w:name="_Toc1209"/>
      <w:bookmarkStart w:id="17" w:name="_Toc79333437"/>
      <w:bookmarkStart w:id="18" w:name="_Toc75871361"/>
      <w:r>
        <w:rPr>
          <w:rFonts w:hint="eastAsia"/>
        </w:rPr>
        <w:t>二、绩效自评工作开展情况</w:t>
      </w:r>
      <w:bookmarkEnd w:id="15"/>
      <w:bookmarkEnd w:id="16"/>
      <w:bookmarkEnd w:id="17"/>
      <w:bookmarkEnd w:id="18"/>
    </w:p>
    <w:p>
      <w:pPr>
        <w:pStyle w:val="4"/>
      </w:pPr>
      <w:bookmarkStart w:id="19" w:name="_Toc79333438"/>
      <w:bookmarkStart w:id="20" w:name="_Toc75871362"/>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75871363"/>
      <w:bookmarkStart w:id="23" w:name="_Toc5617"/>
      <w:bookmarkStart w:id="24" w:name="_Toc3060"/>
      <w:bookmarkStart w:id="25" w:name="_Toc79333439"/>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办公</w:t>
      </w:r>
      <w:r>
        <w:rPr>
          <w:rFonts w:hint="eastAsia"/>
          <w:highlight w:val="none"/>
        </w:rPr>
        <w:t>项目专项资金，评价范围为涉及该项目管理及其预算资金</w:t>
      </w:r>
      <w:r>
        <w:rPr>
          <w:rFonts w:hint="eastAsia"/>
          <w:highlight w:val="none"/>
          <w:lang w:val="en-US" w:eastAsia="zh-CN"/>
        </w:rPr>
        <w:t>26</w:t>
      </w:r>
      <w:r>
        <w:rPr>
          <w:rFonts w:hint="eastAsia"/>
          <w:highlight w:val="none"/>
        </w:rPr>
        <w:t>万元的使用情况。</w:t>
      </w:r>
    </w:p>
    <w:p>
      <w:pPr>
        <w:pStyle w:val="4"/>
      </w:pPr>
      <w:bookmarkStart w:id="26" w:name="_Toc12774"/>
      <w:bookmarkStart w:id="27" w:name="_Toc75871364"/>
      <w:bookmarkStart w:id="28" w:name="_Toc8160"/>
      <w:bookmarkStart w:id="29" w:name="_Toc7933344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75871365"/>
      <w:bookmarkStart w:id="31" w:name="_Toc79333441"/>
      <w:bookmarkStart w:id="32" w:name="_Toc13521"/>
      <w:bookmarkStart w:id="33" w:name="_Toc9578"/>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489"/>
      <w:bookmarkStart w:id="36" w:name="_Toc79333442"/>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79333443"/>
      <w:bookmarkStart w:id="39" w:name="_Toc24506"/>
      <w:r>
        <w:rPr>
          <w:rFonts w:hint="eastAsia"/>
        </w:rPr>
        <w:t>三、绩效自评结果及分析</w:t>
      </w:r>
      <w:bookmarkEnd w:id="38"/>
      <w:bookmarkEnd w:id="39"/>
    </w:p>
    <w:p>
      <w:pPr>
        <w:pStyle w:val="4"/>
      </w:pPr>
      <w:bookmarkStart w:id="40" w:name="_Toc79333444"/>
      <w:bookmarkStart w:id="41" w:name="_Toc4028"/>
      <w:bookmarkStart w:id="42" w:name="_Toc25356"/>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2"/>
      </w:pPr>
    </w:p>
    <w:p>
      <w:pPr>
        <w:pStyle w:val="2"/>
      </w:pPr>
    </w:p>
    <w:p>
      <w:pPr>
        <w:pStyle w:val="2"/>
      </w:pPr>
    </w:p>
    <w:p>
      <w:pPr>
        <w:pStyle w:val="2"/>
      </w:pPr>
    </w:p>
    <w:p>
      <w:pPr>
        <w:pStyle w:val="2"/>
      </w:pPr>
    </w:p>
    <w:p>
      <w:pPr>
        <w:pStyle w:val="2"/>
      </w:pPr>
    </w:p>
    <w:p>
      <w:pPr>
        <w:pStyle w:val="2"/>
      </w:pPr>
    </w:p>
    <w:p>
      <w:pPr>
        <w:pStyle w:val="17"/>
        <w:ind w:firstLine="643"/>
      </w:pPr>
      <w:r>
        <w:rPr>
          <w:rFonts w:hint="eastAsia"/>
        </w:rPr>
        <w:t>表3.1 绩效自评价得分表</w:t>
      </w:r>
    </w:p>
    <w:tbl>
      <w:tblPr>
        <w:tblStyle w:val="14"/>
        <w:tblW w:w="8444" w:type="dxa"/>
        <w:jc w:val="center"/>
        <w:tblInd w:w="0" w:type="dxa"/>
        <w:tblLayout w:type="fixed"/>
        <w:tblCellMar>
          <w:top w:w="0" w:type="dxa"/>
          <w:left w:w="108" w:type="dxa"/>
          <w:bottom w:w="0" w:type="dxa"/>
          <w:right w:w="108" w:type="dxa"/>
        </w:tblCellMar>
      </w:tblPr>
      <w:tblGrid>
        <w:gridCol w:w="1305"/>
        <w:gridCol w:w="1603"/>
        <w:gridCol w:w="2724"/>
        <w:gridCol w:w="1439"/>
        <w:gridCol w:w="1373"/>
      </w:tblGrid>
      <w:tr>
        <w:tblPrEx>
          <w:tblLayout w:type="fixed"/>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highlight w:val="none"/>
              </w:rPr>
            </w:pPr>
            <w:r>
              <w:rPr>
                <w:sz w:val="24"/>
                <w:highlight w:val="none"/>
              </w:rPr>
              <mc:AlternateContent>
                <mc:Choice Requires="wps">
                  <w:drawing>
                    <wp:anchor distT="0" distB="0" distL="114300" distR="114300" simplePos="0" relativeHeight="251658240"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8240;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5fgQBt4BAAB7AwAADgAAAGRycy9lMm9Eb2MueG1srVO9&#10;jhMxEO6ReAfLPdkkl+TCKpsrLjoaBJH46Sdee9eS/+Qx2eQleAEkOqgo6e9tOB6DsROOAzrEFiOP&#10;Z/zNfN/Mrq4O1rC9jKi9a/hkNOZMOuFb7bqGv3l982TJGSZwLRjvZMOPEvnV+vGj1RBqOfW9N62M&#10;jEAc1kNoeJ9SqKsKRS8t4MgH6SiofLSQyI1d1UYYCN2aajoeL6rBxzZELyQi3W5OQb4u+EpJkV4q&#10;hTIx03DqLRUbi91lW61XUHcRQq/FuQ34hy4saEdF76E2kIC9i/ovKKtF9OhVGglvK6+UFrJwIDaT&#10;8R9sXvUQZOFC4mC4lwn/H6x4sd9GptuGzzhzYGlEdx++fnv/6fvtR7J3Xz6zWRZpCFhT7rXbxrOH&#10;YRsz44OKlimjw1uaf9GAWLEDOeOnl9MliX5s+Hw+mV3MznLLQ2KCEpYUn885E5RwuZiWaHUCzMAh&#10;YnomvWX50HCjXdYCatg/x0RNUOrPlHzt/I02pszTODY0fHExp+ICaKuUgURHG4gnuo4zMB2tq0ix&#10;IKI3us2vMw7GbndtIttDXpnyZQGo2m9pufQGsD/lldBpmaxOtNFGWyL48LVxBJJlPAmXTzvfHoue&#10;5Z4mXMqctzGv0EO/vP71z6x/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uzxqPYAAAACgEAAA8A&#10;AAAAAAAAAQAgAAAAIgAAAGRycy9kb3ducmV2LnhtbFBLAQIUABQAAAAIAIdO4kDl+BAG3gEAAHsD&#10;AAAOAAAAAAAAAAEAIAAAACcBAABkcnMvZTJvRG9jLnhtbFBLBQYAAAAABgAGAFkBAAB3BQ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Calibri" w:hAnsi="Calibri" w:eastAsia="宋体" w:cs="Times New Roman"/>
                <w:kern w:val="2"/>
                <w:sz w:val="18"/>
                <w:szCs w:val="18"/>
                <w:highlight w:val="none"/>
                <w:lang w:val="en-US" w:eastAsia="zh-CN" w:bidi="ar-SA"/>
              </w:rPr>
            </w:pPr>
            <w:r>
              <w:rPr>
                <w:rFonts w:hint="eastAsia" w:ascii="Calibri" w:hAnsi="Calibri" w:eastAsia="宋体" w:cs="Times New Roman"/>
                <w:kern w:val="2"/>
                <w:sz w:val="18"/>
                <w:szCs w:val="18"/>
                <w:highlight w:val="none"/>
                <w:lang w:val="en-US" w:eastAsia="zh-CN" w:bidi="ar-SA"/>
              </w:rPr>
              <w:t>水电及物业费缴纳完成率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办公用品及耗材采购完成率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sz w:val="18"/>
                <w:szCs w:val="18"/>
                <w:highlight w:val="none"/>
                <w:lang w:eastAsia="zh-CN"/>
              </w:rPr>
              <w:t>印刷完成率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ascii="Calibri" w:hAnsi="Calibri" w:eastAsia="宋体" w:cs="Times New Roman"/>
                <w:kern w:val="2"/>
                <w:sz w:val="18"/>
                <w:szCs w:val="18"/>
                <w:highlight w:val="none"/>
                <w:lang w:val="en-US" w:eastAsia="zh-CN" w:bidi="ar-SA"/>
              </w:rPr>
              <w:t>水电及物业费缴纳足额率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ascii="宋体" w:hAnsi="宋体" w:cs="宋体"/>
                <w:color w:val="000000"/>
                <w:kern w:val="0"/>
                <w:sz w:val="18"/>
                <w:szCs w:val="18"/>
                <w:highlight w:val="none"/>
                <w:lang w:val="en-US" w:eastAsia="zh-CN"/>
              </w:rPr>
              <w:t>办公用品及耗材采购合格率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ascii="宋体" w:hAnsi="宋体" w:cs="宋体"/>
                <w:color w:val="000000"/>
                <w:kern w:val="0"/>
                <w:sz w:val="28"/>
                <w:szCs w:val="28"/>
                <w:highlight w:val="none"/>
                <w:lang w:val="en-US" w:eastAsia="zh-CN"/>
              </w:rPr>
              <w:t>工作完成及时性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8</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r>
              <w:rPr>
                <w:rFonts w:hint="eastAsia"/>
                <w:highlight w:val="none"/>
                <w:lang w:eastAsia="zh-CN"/>
              </w:rPr>
              <w:t>保障单位正常运转</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highlight w:val="none"/>
                <w:lang w:eastAsia="zh-CN"/>
              </w:rPr>
            </w:pPr>
            <w:r>
              <w:rPr>
                <w:rFonts w:hint="eastAsia" w:ascii="宋体" w:hAnsi="宋体" w:eastAsia="宋体" w:cs="宋体"/>
                <w:i w:val="0"/>
                <w:color w:val="000000"/>
                <w:kern w:val="0"/>
                <w:sz w:val="18"/>
                <w:szCs w:val="18"/>
                <w:u w:val="none"/>
                <w:lang w:val="en-US" w:eastAsia="zh-CN" w:bidi="ar"/>
              </w:rPr>
              <w:t>提高职工办公效率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单位职工满意度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24245"/>
      <w:bookmarkStart w:id="44" w:name="_Toc79333445"/>
      <w:bookmarkStart w:id="45" w:name="_Toc31442"/>
      <w:r>
        <w:rPr>
          <w:rFonts w:hint="eastAsia"/>
          <w:highlight w:val="none"/>
        </w:rPr>
        <w:t>（二）自评指标分析</w:t>
      </w:r>
      <w:bookmarkEnd w:id="43"/>
      <w:bookmarkEnd w:id="44"/>
      <w:bookmarkEnd w:id="45"/>
    </w:p>
    <w:p>
      <w:pPr>
        <w:pStyle w:val="5"/>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26</w:t>
      </w:r>
      <w:r>
        <w:rPr>
          <w:rFonts w:hint="eastAsia"/>
          <w:highlight w:val="none"/>
        </w:rPr>
        <w:t>万元，全年执行数为</w:t>
      </w:r>
      <w:r>
        <w:rPr>
          <w:rFonts w:hint="eastAsia"/>
          <w:highlight w:val="none"/>
          <w:lang w:val="en-US" w:eastAsia="zh-CN"/>
        </w:rPr>
        <w:t>26</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水电及物业费缴纳完成率、办公用品及耗材采购完成率</w:t>
      </w:r>
      <w:r>
        <w:rPr>
          <w:rFonts w:hint="eastAsia"/>
          <w:highlight w:val="none"/>
          <w:lang w:val="en-US" w:eastAsia="zh-CN"/>
        </w:rPr>
        <w:t>、印刷完成率。</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val="en-US" w:eastAsia="zh-CN"/>
        </w:rPr>
        <w:t>水电及物业费缴纳完成率，完成年度目标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办公用品及耗材采购完成率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印刷完成率</w:t>
      </w:r>
      <w:r>
        <w:rPr>
          <w:rFonts w:hint="eastAsia"/>
          <w:highlight w:val="none"/>
          <w:lang w:eastAsia="zh-CN"/>
        </w:rPr>
        <w:t>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val="en-US" w:eastAsia="zh-CN"/>
        </w:rPr>
        <w:t>水电及物业费缴纳足额率</w:t>
      </w:r>
      <w:r>
        <w:rPr>
          <w:rFonts w:hint="eastAsia"/>
          <w:highlight w:val="none"/>
        </w:rPr>
        <w:t>”和“</w:t>
      </w:r>
      <w:r>
        <w:rPr>
          <w:rFonts w:hint="eastAsia"/>
          <w:highlight w:val="none"/>
          <w:lang w:val="en-US" w:eastAsia="zh-CN"/>
        </w:rPr>
        <w:t>办公用品及耗材采购合格率</w:t>
      </w:r>
      <w:r>
        <w:rPr>
          <w:rFonts w:hint="eastAsia"/>
          <w:highlight w:val="none"/>
        </w:rPr>
        <w:t>”。</w:t>
      </w:r>
    </w:p>
    <w:p>
      <w:pPr>
        <w:ind w:firstLine="640"/>
        <w:rPr>
          <w:highlight w:val="none"/>
        </w:rPr>
      </w:pPr>
      <w:r>
        <w:rPr>
          <w:rFonts w:hint="eastAsia"/>
          <w:highlight w:val="none"/>
        </w:rPr>
        <w:t>根据指标要求，</w:t>
      </w:r>
      <w:r>
        <w:rPr>
          <w:rFonts w:hint="eastAsia"/>
          <w:highlight w:val="none"/>
          <w:lang w:val="en-US" w:eastAsia="zh-CN"/>
        </w:rPr>
        <w:t>水电及物业费缴纳足额率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val="en-US" w:eastAsia="zh-CN"/>
        </w:rPr>
        <w:t>办公用品及耗材采购合格率</w:t>
      </w:r>
      <w:r>
        <w:rPr>
          <w:rFonts w:hint="eastAsia" w:ascii="Arial" w:hAnsi="Arial" w:cs="Arial"/>
          <w:highlight w:val="none"/>
          <w:lang w:val="en-US" w:eastAsia="zh-CN"/>
        </w:rPr>
        <w:t>，完成了年度目标，</w:t>
      </w:r>
      <w:r>
        <w:rPr>
          <w:rFonts w:hint="eastAsia"/>
          <w:highlight w:val="none"/>
        </w:rPr>
        <w:t>该项指标标准分值为1</w:t>
      </w:r>
      <w:r>
        <w:rPr>
          <w:highlight w:val="none"/>
        </w:rPr>
        <w:t>0</w:t>
      </w:r>
      <w:r>
        <w:rPr>
          <w:rFonts w:hint="eastAsia"/>
          <w:highlight w:val="none"/>
        </w:rPr>
        <w:t>分，得分为1</w:t>
      </w:r>
      <w:r>
        <w:rPr>
          <w:highlight w:val="none"/>
        </w:rPr>
        <w:t>0</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w:t>
      </w:r>
      <w:r>
        <w:rPr>
          <w:highlight w:val="none"/>
        </w:rPr>
        <w:t>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highlight w:val="none"/>
          <w:lang w:val="en-US" w:eastAsia="zh-CN"/>
        </w:rPr>
        <w:t>工作完成及时性</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rFonts w:hint="eastAsia"/>
          <w:highlight w:val="none"/>
          <w:lang w:val="en-US" w:eastAsia="zh-CN"/>
        </w:rPr>
        <w:t>10</w:t>
      </w:r>
      <w:r>
        <w:rPr>
          <w:highlight w:val="none"/>
        </w:rPr>
        <w:t>分，得分为</w:t>
      </w:r>
      <w:r>
        <w:rPr>
          <w:rFonts w:hint="eastAsia"/>
          <w:highlight w:val="none"/>
          <w:lang w:val="en-US" w:eastAsia="zh-CN"/>
        </w:rPr>
        <w:t>8</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保障单位正常运转</w:t>
      </w:r>
      <w:r>
        <w:rPr>
          <w:rFonts w:hint="eastAsia"/>
          <w:highlight w:val="none"/>
        </w:rPr>
        <w:t>”、“</w:t>
      </w:r>
      <w:r>
        <w:rPr>
          <w:rFonts w:hint="eastAsia"/>
          <w:highlight w:val="none"/>
          <w:lang w:val="en-US" w:eastAsia="zh-CN"/>
        </w:rPr>
        <w:t>提高职工办公效率</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三个</w:t>
      </w:r>
      <w:r>
        <w:rPr>
          <w:rFonts w:hint="eastAsia"/>
          <w:highlight w:val="none"/>
        </w:rPr>
        <w:t>三级指标分别为“</w:t>
      </w:r>
      <w:r>
        <w:rPr>
          <w:rFonts w:hint="eastAsia"/>
          <w:highlight w:val="none"/>
          <w:lang w:eastAsia="zh-CN"/>
        </w:rPr>
        <w:t>保障单位正常运转</w:t>
      </w:r>
      <w:r>
        <w:rPr>
          <w:rFonts w:hint="eastAsia"/>
          <w:highlight w:val="none"/>
        </w:rPr>
        <w:t>”、“</w:t>
      </w:r>
      <w:r>
        <w:rPr>
          <w:rFonts w:hint="eastAsia"/>
          <w:highlight w:val="none"/>
          <w:lang w:val="en-US" w:eastAsia="zh-CN"/>
        </w:rPr>
        <w:t>提高职工办公效率</w:t>
      </w:r>
      <w:r>
        <w:rPr>
          <w:rFonts w:hint="eastAsia"/>
          <w:highlight w:val="none"/>
        </w:rPr>
        <w:t>”。</w:t>
      </w:r>
    </w:p>
    <w:p>
      <w:pPr>
        <w:ind w:firstLine="640"/>
        <w:rPr>
          <w:highlight w:val="none"/>
        </w:rPr>
      </w:pPr>
      <w:r>
        <w:rPr>
          <w:rFonts w:hint="eastAsia"/>
          <w:highlight w:val="none"/>
          <w:lang w:eastAsia="zh-CN"/>
        </w:rPr>
        <w:t>该项目实施后对产生了积极的社会效益</w:t>
      </w:r>
      <w:r>
        <w:rPr>
          <w:rFonts w:hint="eastAsia"/>
          <w:highlight w:val="none"/>
        </w:rPr>
        <w:t>，该指标标准分值</w:t>
      </w:r>
      <w:r>
        <w:rPr>
          <w:rFonts w:hint="eastAsia"/>
          <w:highlight w:val="none"/>
          <w:lang w:eastAsia="zh-CN"/>
        </w:rPr>
        <w:t>合计</w:t>
      </w:r>
      <w:r>
        <w:rPr>
          <w:rFonts w:hint="eastAsia"/>
          <w:highlight w:val="none"/>
        </w:rPr>
        <w:t>为</w:t>
      </w:r>
      <w:r>
        <w:rPr>
          <w:rFonts w:hint="eastAsia"/>
          <w:highlight w:val="none"/>
          <w:lang w:val="en-US" w:eastAsia="zh-CN"/>
        </w:rPr>
        <w:t>20</w:t>
      </w:r>
      <w:r>
        <w:rPr>
          <w:rFonts w:hint="eastAsia"/>
          <w:highlight w:val="none"/>
        </w:rPr>
        <w:t>分，实际综合得分为</w:t>
      </w:r>
      <w:r>
        <w:rPr>
          <w:rFonts w:hint="eastAsia"/>
          <w:highlight w:val="none"/>
          <w:lang w:val="en-US" w:eastAsia="zh-CN"/>
        </w:rPr>
        <w:t>20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办公项目确实提高了单位职工的</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29830"/>
      <w:bookmarkStart w:id="53" w:name="_Toc1809"/>
      <w:bookmarkStart w:id="54" w:name="_Toc79333450"/>
      <w:r>
        <w:rPr>
          <w:rFonts w:hint="eastAsia"/>
          <w:highlight w:val="none"/>
        </w:rPr>
        <w:t>四、成果和问题</w:t>
      </w:r>
      <w:bookmarkEnd w:id="52"/>
      <w:bookmarkEnd w:id="53"/>
      <w:bookmarkEnd w:id="54"/>
    </w:p>
    <w:p>
      <w:pPr>
        <w:pStyle w:val="4"/>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p>
    <w:p>
      <w:pPr>
        <w:pStyle w:val="4"/>
        <w:rPr>
          <w:rFonts w:hint="eastAsia" w:ascii="仿宋" w:hAnsi="仿宋" w:eastAsia="仿宋" w:cstheme="minorBidi"/>
          <w:b w:val="0"/>
          <w:bCs w:val="0"/>
          <w:kern w:val="2"/>
          <w:sz w:val="32"/>
          <w:szCs w:val="32"/>
          <w:highlight w:val="none"/>
          <w:lang w:val="en-US" w:eastAsia="zh-CN" w:bidi="ar-SA"/>
        </w:rPr>
      </w:pPr>
      <w:bookmarkStart w:id="57" w:name="_Toc79333452"/>
      <w:bookmarkStart w:id="58" w:name="_Toc30691"/>
      <w:r>
        <w:rPr>
          <w:rFonts w:hint="eastAsia" w:ascii="仿宋" w:hAnsi="仿宋" w:eastAsia="仿宋" w:cstheme="minorBidi"/>
          <w:b w:val="0"/>
          <w:bCs w:val="0"/>
          <w:kern w:val="2"/>
          <w:sz w:val="32"/>
          <w:szCs w:val="32"/>
          <w:highlight w:val="none"/>
          <w:lang w:val="en-US" w:eastAsia="zh-CN" w:bidi="ar-SA"/>
        </w:rPr>
        <w:t>本县非公有制经济健康发展，促进非公有制经济人士健康成长，加强商会自身建设，加强和改进非公有制经济人士思想政治工作；参与政治协商，发挥民主监督作用，积极参政议政</w:t>
      </w:r>
    </w:p>
    <w:p>
      <w:pPr>
        <w:pStyle w:val="4"/>
        <w:rPr>
          <w:highlight w:val="none"/>
        </w:rPr>
      </w:pPr>
      <w:r>
        <w:rPr>
          <w:rFonts w:hint="eastAsia" w:ascii="仿宋" w:hAnsi="仿宋" w:eastAsia="仿宋" w:cstheme="minorBidi"/>
          <w:b w:val="0"/>
          <w:bCs w:val="0"/>
          <w:kern w:val="2"/>
          <w:sz w:val="32"/>
          <w:szCs w:val="32"/>
          <w:highlight w:val="none"/>
          <w:lang w:val="en-US" w:eastAsia="zh-CN" w:bidi="ar-SA"/>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27227"/>
      <w:bookmarkStart w:id="60" w:name="_Toc6382"/>
      <w:bookmarkStart w:id="61" w:name="_Toc79333453"/>
      <w:r>
        <w:rPr>
          <w:rFonts w:hint="eastAsia"/>
          <w:highlight w:val="none"/>
        </w:rPr>
        <w:t>五、建议</w:t>
      </w:r>
      <w:bookmarkEnd w:id="59"/>
      <w:bookmarkEnd w:id="60"/>
      <w:bookmarkEnd w:id="61"/>
    </w:p>
    <w:p>
      <w:pPr>
        <w:pStyle w:val="4"/>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bookmarkStart w:id="81" w:name="_GoBack"/>
      <w:bookmarkEnd w:id="81"/>
    </w:p>
    <w:p>
      <w:pPr>
        <w:pStyle w:val="3"/>
        <w:rPr>
          <w:highlight w:val="none"/>
        </w:rPr>
      </w:pPr>
      <w:bookmarkStart w:id="68" w:name="_Toc79333457"/>
      <w:bookmarkStart w:id="69" w:name="_Toc665"/>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75871379"/>
      <w:bookmarkStart w:id="72" w:name="_Toc62030119"/>
      <w:bookmarkStart w:id="73" w:name="_Toc3394"/>
      <w:bookmarkStart w:id="74" w:name="_Toc79333458"/>
      <w:bookmarkStart w:id="75" w:name="_Toc61882435"/>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4" w:type="default"/>
          <w:pgSz w:w="11906" w:h="16838"/>
          <w:pgMar w:top="1440" w:right="1800" w:bottom="1440" w:left="1800" w:header="851" w:footer="737" w:gutter="0"/>
          <w:pgNumType w:fmt="decimal" w:start="1"/>
          <w:cols w:space="0" w:num="1"/>
          <w:docGrid w:linePitch="312" w:charSpace="0"/>
        </w:sectPr>
      </w:pPr>
    </w:p>
    <w:p>
      <w:pPr>
        <w:pStyle w:val="4"/>
      </w:pPr>
      <w:bookmarkStart w:id="76" w:name="_Toc75871380"/>
      <w:bookmarkStart w:id="77" w:name="_Toc62030120"/>
      <w:bookmarkStart w:id="78" w:name="_Toc61882642"/>
      <w:bookmarkStart w:id="79" w:name="_Toc8706"/>
      <w:bookmarkStart w:id="80" w:name="_Toc79333459"/>
      <w:r>
        <w:rPr>
          <w:rFonts w:hint="eastAsia"/>
        </w:rPr>
        <w:t>附件一：项目绩效自评表</w:t>
      </w:r>
      <w:bookmarkEnd w:id="76"/>
      <w:bookmarkEnd w:id="77"/>
      <w:bookmarkEnd w:id="78"/>
      <w:bookmarkEnd w:id="79"/>
      <w:bookmarkEnd w:id="80"/>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88"/>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iNzJhYWJiZDk5YzkxNGRlZWE5ZTdkMDFjMWE5MGE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1BC20A1"/>
    <w:rsid w:val="03C660F1"/>
    <w:rsid w:val="042B4352"/>
    <w:rsid w:val="06DD5138"/>
    <w:rsid w:val="07D72202"/>
    <w:rsid w:val="09034D82"/>
    <w:rsid w:val="09083694"/>
    <w:rsid w:val="09AB2202"/>
    <w:rsid w:val="0EE02FCE"/>
    <w:rsid w:val="11D14067"/>
    <w:rsid w:val="14A50700"/>
    <w:rsid w:val="1A8D2182"/>
    <w:rsid w:val="1B002515"/>
    <w:rsid w:val="1BA50EE0"/>
    <w:rsid w:val="1CBF4C66"/>
    <w:rsid w:val="1D456769"/>
    <w:rsid w:val="1E734EC5"/>
    <w:rsid w:val="21032E75"/>
    <w:rsid w:val="2449572C"/>
    <w:rsid w:val="24F12D14"/>
    <w:rsid w:val="2636356A"/>
    <w:rsid w:val="28577A06"/>
    <w:rsid w:val="2AE845D1"/>
    <w:rsid w:val="2E3C1390"/>
    <w:rsid w:val="30FD39D4"/>
    <w:rsid w:val="340A4177"/>
    <w:rsid w:val="341A002E"/>
    <w:rsid w:val="358D1218"/>
    <w:rsid w:val="360509BD"/>
    <w:rsid w:val="37360FC5"/>
    <w:rsid w:val="390B472B"/>
    <w:rsid w:val="3B080524"/>
    <w:rsid w:val="3CF31F38"/>
    <w:rsid w:val="3E793690"/>
    <w:rsid w:val="3E7A663C"/>
    <w:rsid w:val="408C5853"/>
    <w:rsid w:val="40B05D7B"/>
    <w:rsid w:val="42B108F1"/>
    <w:rsid w:val="43901938"/>
    <w:rsid w:val="441E6300"/>
    <w:rsid w:val="4CB55F6E"/>
    <w:rsid w:val="4E992DD9"/>
    <w:rsid w:val="4F2400B5"/>
    <w:rsid w:val="503A51A4"/>
    <w:rsid w:val="50C37060"/>
    <w:rsid w:val="52321ABE"/>
    <w:rsid w:val="533F163E"/>
    <w:rsid w:val="55717B4E"/>
    <w:rsid w:val="55F834F4"/>
    <w:rsid w:val="56F53B80"/>
    <w:rsid w:val="5C421C32"/>
    <w:rsid w:val="5CD42C71"/>
    <w:rsid w:val="611B0B6F"/>
    <w:rsid w:val="63BF54E2"/>
    <w:rsid w:val="65091475"/>
    <w:rsid w:val="65A17FA7"/>
    <w:rsid w:val="66447F6F"/>
    <w:rsid w:val="666D63A3"/>
    <w:rsid w:val="69312D5B"/>
    <w:rsid w:val="6A514640"/>
    <w:rsid w:val="6ABB68E5"/>
    <w:rsid w:val="6AEB2D33"/>
    <w:rsid w:val="6E977F48"/>
    <w:rsid w:val="70493BA2"/>
    <w:rsid w:val="74AD3F2D"/>
    <w:rsid w:val="75BB1238"/>
    <w:rsid w:val="77753743"/>
    <w:rsid w:val="78841823"/>
    <w:rsid w:val="789E7920"/>
    <w:rsid w:val="7BF34CA6"/>
    <w:rsid w:val="7DA06E92"/>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8"/>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1"/>
    <w:unhideWhenUsed/>
    <w:qFormat/>
    <w:uiPriority w:val="9"/>
    <w:pPr>
      <w:keepNext/>
      <w:keepLines/>
      <w:ind w:firstLine="200"/>
      <w:jc w:val="left"/>
      <w:outlineLvl w:val="2"/>
    </w:pPr>
    <w:rPr>
      <w:rFonts w:ascii="宋体" w:hAnsi="宋体"/>
      <w:b/>
      <w:bCs/>
    </w:rPr>
  </w:style>
  <w:style w:type="paragraph" w:styleId="6">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3">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3"/>
    <w:link w:val="4"/>
    <w:qFormat/>
    <w:uiPriority w:val="9"/>
    <w:rPr>
      <w:rFonts w:ascii="楷体" w:hAnsi="楷体" w:eastAsia="楷体" w:cstheme="majorBidi"/>
      <w:b/>
      <w:bCs/>
      <w:kern w:val="2"/>
      <w:sz w:val="32"/>
      <w:szCs w:val="32"/>
    </w:rPr>
  </w:style>
  <w:style w:type="character" w:customStyle="1" w:styleId="19">
    <w:name w:val="页脚 字符"/>
    <w:basedOn w:val="13"/>
    <w:link w:val="9"/>
    <w:qFormat/>
    <w:uiPriority w:val="99"/>
    <w:rPr>
      <w:rFonts w:eastAsia="仿宋"/>
      <w:sz w:val="28"/>
      <w:szCs w:val="28"/>
    </w:rPr>
  </w:style>
  <w:style w:type="character" w:customStyle="1" w:styleId="20">
    <w:name w:val="标题 1 字符"/>
    <w:basedOn w:val="13"/>
    <w:link w:val="3"/>
    <w:qFormat/>
    <w:uiPriority w:val="9"/>
    <w:rPr>
      <w:rFonts w:ascii="黑体" w:hAnsi="黑体" w:eastAsia="黑体"/>
      <w:b/>
      <w:bCs/>
      <w:kern w:val="44"/>
      <w:sz w:val="32"/>
      <w:szCs w:val="32"/>
    </w:rPr>
  </w:style>
  <w:style w:type="character" w:customStyle="1" w:styleId="21">
    <w:name w:val="标题 3 字符"/>
    <w:basedOn w:val="13"/>
    <w:link w:val="5"/>
    <w:qFormat/>
    <w:uiPriority w:val="9"/>
    <w:rPr>
      <w:rFonts w:ascii="宋体" w:hAnsi="宋体" w:eastAsia="仿宋"/>
      <w:b/>
      <w:bCs/>
      <w:kern w:val="2"/>
      <w:sz w:val="32"/>
      <w:szCs w:val="32"/>
    </w:rPr>
  </w:style>
  <w:style w:type="character" w:customStyle="1" w:styleId="22">
    <w:name w:val="标题 4 字符"/>
    <w:basedOn w:val="13"/>
    <w:link w:val="6"/>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paragraph" w:customStyle="1" w:styleId="29">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4260</Words>
  <Characters>4464</Characters>
  <Lines>42</Lines>
  <Paragraphs>11</Paragraphs>
  <TotalTime>0</TotalTime>
  <ScaleCrop>false</ScaleCrop>
  <LinksUpToDate>false</LinksUpToDate>
  <CharactersWithSpaces>4503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cp:lastPrinted>2022-08-31T07:41:37Z</cp:lastPrinted>
  <dcterms:modified xsi:type="dcterms:W3CDTF">2022-08-31T07:49:16Z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8040E5319DF8438F9AF461AC7598704D</vt:lpwstr>
  </property>
</Properties>
</file>