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0" w:firstLineChars="0"/>
        <w:rPr>
          <w:rFonts w:ascii="华文仿宋" w:hAnsi="华文仿宋" w:eastAsia="华文仿宋" w:cs="华文仿宋"/>
          <w:b/>
          <w:bCs/>
          <w:szCs w:val="32"/>
        </w:rPr>
      </w:pPr>
    </w:p>
    <w:p>
      <w:pPr>
        <w:spacing w:line="580" w:lineRule="exact"/>
        <w:ind w:firstLine="0" w:firstLineChars="0"/>
        <w:jc w:val="center"/>
        <w:rPr>
          <w:rFonts w:ascii="宋体" w:hAnsi="宋体" w:eastAsia="宋体" w:cs="宋体"/>
          <w:b/>
          <w:bCs/>
          <w:sz w:val="52"/>
          <w:szCs w:val="52"/>
        </w:rPr>
      </w:pPr>
      <w:r>
        <w:rPr>
          <w:rFonts w:hint="eastAsia" w:ascii="宋体" w:hAnsi="宋体" w:eastAsia="宋体" w:cs="宋体"/>
          <w:b/>
          <w:bCs/>
          <w:sz w:val="52"/>
          <w:szCs w:val="52"/>
        </w:rPr>
        <w:t>部门整体支出绩效评价自评报告</w:t>
      </w:r>
    </w:p>
    <w:p>
      <w:pPr>
        <w:spacing w:line="580" w:lineRule="exact"/>
        <w:ind w:firstLine="0" w:firstLineChars="0"/>
        <w:jc w:val="center"/>
        <w:rPr>
          <w:rFonts w:ascii="仿宋" w:hAnsi="仿宋" w:cs="仿宋"/>
          <w:szCs w:val="32"/>
        </w:rPr>
      </w:pPr>
      <w:r>
        <w:rPr>
          <w:rFonts w:hint="eastAsia" w:ascii="仿宋" w:hAnsi="仿宋" w:cs="仿宋"/>
          <w:szCs w:val="32"/>
        </w:rPr>
        <w:t>（2021年度）</w:t>
      </w:r>
    </w:p>
    <w:p>
      <w:pPr>
        <w:spacing w:line="240" w:lineRule="auto"/>
        <w:ind w:firstLine="0" w:firstLineChars="0"/>
        <w:jc w:val="center"/>
        <w:rPr>
          <w:rFonts w:ascii="华文仿宋" w:hAnsi="华文仿宋" w:eastAsia="华文仿宋" w:cs="华文仿宋"/>
          <w:szCs w:val="32"/>
        </w:rPr>
      </w:pPr>
    </w:p>
    <w:p>
      <w:pPr>
        <w:spacing w:line="240" w:lineRule="auto"/>
        <w:ind w:firstLine="0" w:firstLineChars="0"/>
        <w:jc w:val="center"/>
        <w:rPr>
          <w:rFonts w:ascii="华文仿宋" w:hAnsi="华文仿宋" w:eastAsia="华文仿宋" w:cs="华文仿宋"/>
          <w:szCs w:val="32"/>
        </w:rPr>
      </w:pPr>
    </w:p>
    <w:p>
      <w:pPr>
        <w:spacing w:line="240" w:lineRule="auto"/>
        <w:ind w:firstLine="0" w:firstLineChars="0"/>
        <w:jc w:val="center"/>
        <w:rPr>
          <w:rFonts w:ascii="华文仿宋" w:hAnsi="华文仿宋" w:eastAsia="华文仿宋" w:cs="华文仿宋"/>
          <w:szCs w:val="32"/>
        </w:rPr>
      </w:pPr>
    </w:p>
    <w:p>
      <w:pPr>
        <w:spacing w:line="240" w:lineRule="auto"/>
        <w:ind w:firstLine="0" w:firstLineChars="0"/>
        <w:jc w:val="center"/>
        <w:rPr>
          <w:rFonts w:ascii="华文仿宋" w:hAnsi="华文仿宋" w:eastAsia="华文仿宋" w:cs="华文仿宋"/>
          <w:szCs w:val="32"/>
        </w:rPr>
      </w:pPr>
    </w:p>
    <w:p>
      <w:pPr>
        <w:pStyle w:val="2"/>
        <w:ind w:firstLine="640"/>
      </w:pPr>
    </w:p>
    <w:p>
      <w:pPr>
        <w:spacing w:line="580" w:lineRule="exact"/>
        <w:ind w:firstLine="0" w:firstLineChars="0"/>
        <w:rPr>
          <w:rFonts w:ascii="华文仿宋" w:hAnsi="华文仿宋" w:eastAsia="华文仿宋" w:cs="华文仿宋"/>
          <w:szCs w:val="32"/>
        </w:rPr>
      </w:pPr>
    </w:p>
    <w:p>
      <w:pPr>
        <w:spacing w:line="580" w:lineRule="exact"/>
        <w:ind w:right="-339" w:rightChars="-106"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部门（单位）全称：</w:t>
      </w:r>
      <w:r>
        <w:rPr>
          <w:rFonts w:hint="eastAsia" w:ascii="华文仿宋" w:hAnsi="华文仿宋" w:eastAsia="华文仿宋" w:cs="华文仿宋"/>
          <w:szCs w:val="32"/>
          <w:u w:val="single"/>
        </w:rPr>
        <w:t>中国共产党太康县纪律检查委员会（公章）</w:t>
      </w:r>
    </w:p>
    <w:p>
      <w:pPr>
        <w:spacing w:line="580" w:lineRule="exact"/>
        <w:ind w:firstLine="0" w:firstLineChars="0"/>
        <w:rPr>
          <w:rFonts w:ascii="华文仿宋" w:hAnsi="华文仿宋" w:eastAsia="华文仿宋" w:cs="华文仿宋"/>
          <w:szCs w:val="32"/>
          <w:u w:val="single"/>
        </w:rPr>
      </w:pPr>
    </w:p>
    <w:p>
      <w:pPr>
        <w:spacing w:line="58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 xml:space="preserve">绩效评价基准日： </w:t>
      </w:r>
      <w:r>
        <w:rPr>
          <w:rFonts w:hint="eastAsia" w:ascii="华文仿宋" w:hAnsi="华文仿宋" w:eastAsia="华文仿宋" w:cs="华文仿宋"/>
          <w:szCs w:val="32"/>
          <w:u w:val="single"/>
        </w:rPr>
        <w:t>2021年12月31日</w:t>
      </w:r>
    </w:p>
    <w:p>
      <w:pPr>
        <w:spacing w:line="580" w:lineRule="exact"/>
        <w:ind w:firstLine="0" w:firstLineChars="0"/>
        <w:rPr>
          <w:rFonts w:ascii="华文仿宋" w:hAnsi="华文仿宋" w:eastAsia="华文仿宋" w:cs="华文仿宋"/>
          <w:szCs w:val="32"/>
          <w:u w:val="single"/>
        </w:rPr>
      </w:pPr>
    </w:p>
    <w:p>
      <w:pPr>
        <w:spacing w:line="580" w:lineRule="exact"/>
        <w:ind w:firstLine="0" w:firstLineChars="0"/>
        <w:rPr>
          <w:rFonts w:ascii="华文仿宋" w:hAnsi="华文仿宋" w:eastAsia="华文仿宋" w:cs="华文仿宋"/>
          <w:szCs w:val="32"/>
          <w:u w:val="single"/>
        </w:rPr>
      </w:pPr>
    </w:p>
    <w:p>
      <w:pPr>
        <w:spacing w:line="58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主管部门审核意见：</w:t>
      </w:r>
      <w:bookmarkStart w:id="0" w:name="_Hlk42768429"/>
      <w:bookmarkEnd w:id="0"/>
    </w:p>
    <w:p>
      <w:pPr>
        <w:spacing w:line="580" w:lineRule="exact"/>
        <w:ind w:firstLine="0" w:firstLineChars="0"/>
        <w:rPr>
          <w:rFonts w:ascii="华文仿宋" w:hAnsi="华文仿宋" w:eastAsia="华文仿宋" w:cs="华文仿宋"/>
          <w:szCs w:val="32"/>
          <w:u w:val="single"/>
        </w:rPr>
      </w:pPr>
    </w:p>
    <w:p>
      <w:pPr>
        <w:spacing w:line="700" w:lineRule="exact"/>
        <w:ind w:firstLine="0" w:firstLineChars="0"/>
        <w:jc w:val="center"/>
        <w:rPr>
          <w:rFonts w:ascii="华文仿宋" w:hAnsi="华文仿宋" w:eastAsia="华文仿宋" w:cs="华文仿宋"/>
          <w:szCs w:val="32"/>
        </w:rPr>
      </w:pPr>
    </w:p>
    <w:p>
      <w:pPr>
        <w:spacing w:line="700" w:lineRule="exact"/>
        <w:ind w:firstLine="0" w:firstLineChars="0"/>
        <w:rPr>
          <w:rFonts w:ascii="华文仿宋" w:hAnsi="华文仿宋" w:eastAsia="华文仿宋" w:cs="华文仿宋"/>
          <w:szCs w:val="32"/>
          <w:u w:val="single"/>
        </w:rPr>
      </w:pPr>
      <w:r>
        <w:rPr>
          <w:rFonts w:hint="eastAsia" w:ascii="华文仿宋" w:hAnsi="华文仿宋" w:eastAsia="华文仿宋" w:cs="华文仿宋"/>
          <w:szCs w:val="32"/>
        </w:rPr>
        <w:t>财政部门审核意见：</w:t>
      </w:r>
    </w:p>
    <w:p>
      <w:pPr>
        <w:spacing w:line="700" w:lineRule="exact"/>
        <w:ind w:firstLine="0" w:firstLineChars="0"/>
        <w:rPr>
          <w:rFonts w:ascii="华文仿宋" w:hAnsi="华文仿宋" w:eastAsia="华文仿宋" w:cs="华文仿宋"/>
          <w:szCs w:val="32"/>
        </w:rPr>
      </w:pPr>
    </w:p>
    <w:p>
      <w:pPr>
        <w:spacing w:line="700" w:lineRule="exact"/>
        <w:ind w:firstLine="0" w:firstLineChars="0"/>
        <w:jc w:val="center"/>
        <w:rPr>
          <w:rFonts w:ascii="华文仿宋" w:hAnsi="华文仿宋" w:eastAsia="华文仿宋" w:cs="华文仿宋"/>
          <w:szCs w:val="32"/>
        </w:rPr>
      </w:pPr>
      <w:r>
        <w:rPr>
          <w:rFonts w:hint="eastAsia" w:ascii="华文仿宋" w:hAnsi="华文仿宋" w:eastAsia="华文仿宋" w:cs="华文仿宋"/>
          <w:szCs w:val="32"/>
        </w:rPr>
        <w:t>填报日期:     年     月     日</w:t>
      </w:r>
    </w:p>
    <w:p>
      <w:pPr>
        <w:pStyle w:val="18"/>
        <w:ind w:firstLine="640"/>
        <w:rPr>
          <w:rFonts w:hint="default"/>
        </w:rPr>
      </w:pPr>
    </w:p>
    <w:p>
      <w:pPr>
        <w:pStyle w:val="18"/>
        <w:ind w:firstLine="640"/>
        <w:rPr>
          <w:rFonts w:hint="default"/>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737" w:gutter="0"/>
          <w:pgNumType w:fmt="upperRoman" w:start="1"/>
          <w:cols w:space="0" w:num="1"/>
          <w:docGrid w:linePitch="312" w:charSpace="0"/>
        </w:sectPr>
      </w:pPr>
    </w:p>
    <w:p>
      <w:pPr>
        <w:pStyle w:val="18"/>
        <w:ind w:firstLine="0" w:firstLineChars="0"/>
        <w:jc w:val="center"/>
        <w:rPr>
          <w:rFonts w:hint="default"/>
          <w:b/>
          <w:bCs/>
          <w:sz w:val="36"/>
          <w:szCs w:val="36"/>
        </w:rPr>
      </w:pPr>
      <w:bookmarkStart w:id="1" w:name="_Toc27722"/>
      <w:r>
        <w:rPr>
          <w:b/>
          <w:bCs/>
          <w:sz w:val="36"/>
          <w:szCs w:val="36"/>
        </w:rPr>
        <w:t>目  录</w:t>
      </w:r>
    </w:p>
    <w:p>
      <w:pPr>
        <w:pStyle w:val="9"/>
        <w:tabs>
          <w:tab w:val="right" w:leader="dot" w:pos="8306"/>
        </w:tabs>
      </w:pPr>
      <w:r>
        <w:rPr>
          <w:rFonts w:hint="eastAsia"/>
        </w:rPr>
        <w:fldChar w:fldCharType="begin"/>
      </w:r>
      <w:r>
        <w:rPr>
          <w:rFonts w:hint="eastAsia"/>
        </w:rPr>
        <w:instrText xml:space="preserve">TOC \o "1-2" \h \u </w:instrText>
      </w:r>
      <w:r>
        <w:rPr>
          <w:rFonts w:hint="eastAsia"/>
        </w:rPr>
        <w:fldChar w:fldCharType="separate"/>
      </w:r>
      <w:r>
        <w:fldChar w:fldCharType="begin"/>
      </w:r>
      <w:r>
        <w:instrText xml:space="preserve"> HYPERLINK \l "_Toc3240" </w:instrText>
      </w:r>
      <w:r>
        <w:fldChar w:fldCharType="separate"/>
      </w:r>
      <w:r>
        <w:rPr>
          <w:rFonts w:hint="eastAsia"/>
        </w:rPr>
        <w:t>一、基本情况</w:t>
      </w:r>
      <w:r>
        <w:tab/>
      </w:r>
      <w:r>
        <w:fldChar w:fldCharType="begin"/>
      </w:r>
      <w:r>
        <w:instrText xml:space="preserve"> PAGEREF _Toc3240 \h </w:instrText>
      </w:r>
      <w:r>
        <w:fldChar w:fldCharType="separate"/>
      </w:r>
      <w:r>
        <w:t>1</w:t>
      </w:r>
      <w:r>
        <w:fldChar w:fldCharType="end"/>
      </w:r>
      <w:r>
        <w:fldChar w:fldCharType="end"/>
      </w:r>
    </w:p>
    <w:p>
      <w:pPr>
        <w:pStyle w:val="10"/>
        <w:tabs>
          <w:tab w:val="right" w:leader="dot" w:pos="8306"/>
        </w:tabs>
        <w:ind w:left="640"/>
      </w:pPr>
      <w:r>
        <w:fldChar w:fldCharType="begin"/>
      </w:r>
      <w:r>
        <w:instrText xml:space="preserve"> HYPERLINK \l "_Toc14104" </w:instrText>
      </w:r>
      <w:r>
        <w:fldChar w:fldCharType="separate"/>
      </w:r>
      <w:r>
        <w:rPr>
          <w:rFonts w:hint="eastAsia"/>
        </w:rPr>
        <w:t>（一）单位简介</w:t>
      </w:r>
      <w:r>
        <w:tab/>
      </w:r>
      <w:r>
        <w:fldChar w:fldCharType="begin"/>
      </w:r>
      <w:r>
        <w:instrText xml:space="preserve"> PAGEREF _Toc14104 \h </w:instrText>
      </w:r>
      <w:r>
        <w:fldChar w:fldCharType="separate"/>
      </w:r>
      <w:r>
        <w:t>1</w:t>
      </w:r>
      <w:r>
        <w:fldChar w:fldCharType="end"/>
      </w:r>
      <w:r>
        <w:fldChar w:fldCharType="end"/>
      </w:r>
    </w:p>
    <w:p>
      <w:pPr>
        <w:pStyle w:val="10"/>
        <w:tabs>
          <w:tab w:val="right" w:leader="dot" w:pos="8306"/>
        </w:tabs>
        <w:ind w:left="640"/>
      </w:pPr>
      <w:r>
        <w:fldChar w:fldCharType="begin"/>
      </w:r>
      <w:r>
        <w:instrText xml:space="preserve"> HYPERLINK \l "_Toc27471" </w:instrText>
      </w:r>
      <w:r>
        <w:fldChar w:fldCharType="separate"/>
      </w:r>
      <w:r>
        <w:rPr>
          <w:rFonts w:hint="eastAsia"/>
        </w:rPr>
        <w:t>（二）</w:t>
      </w:r>
      <w:r>
        <w:t>年度部门总目标及主要任务</w:t>
      </w:r>
      <w:r>
        <w:tab/>
      </w:r>
      <w:r>
        <w:fldChar w:fldCharType="begin"/>
      </w:r>
      <w:r>
        <w:instrText xml:space="preserve"> PAGEREF _Toc27471 \h </w:instrText>
      </w:r>
      <w:r>
        <w:fldChar w:fldCharType="separate"/>
      </w:r>
      <w:r>
        <w:t>1</w:t>
      </w:r>
      <w:r>
        <w:fldChar w:fldCharType="end"/>
      </w:r>
      <w:r>
        <w:fldChar w:fldCharType="end"/>
      </w:r>
    </w:p>
    <w:p>
      <w:pPr>
        <w:pStyle w:val="9"/>
        <w:tabs>
          <w:tab w:val="right" w:leader="dot" w:pos="8306"/>
        </w:tabs>
      </w:pPr>
      <w:r>
        <w:fldChar w:fldCharType="begin"/>
      </w:r>
      <w:r>
        <w:instrText xml:space="preserve"> HYPERLINK \l "_Toc31554" </w:instrText>
      </w:r>
      <w:r>
        <w:fldChar w:fldCharType="separate"/>
      </w:r>
      <w:r>
        <w:rPr>
          <w:rFonts w:hint="eastAsia"/>
        </w:rPr>
        <w:t>二</w:t>
      </w:r>
      <w:r>
        <w:t>、绩效自评工作开展情况</w:t>
      </w:r>
      <w:r>
        <w:tab/>
      </w:r>
      <w:r>
        <w:fldChar w:fldCharType="begin"/>
      </w:r>
      <w:r>
        <w:instrText xml:space="preserve"> PAGEREF _Toc31554 \h </w:instrText>
      </w:r>
      <w:r>
        <w:fldChar w:fldCharType="separate"/>
      </w:r>
      <w:r>
        <w:t>2</w:t>
      </w:r>
      <w:r>
        <w:fldChar w:fldCharType="end"/>
      </w:r>
      <w:r>
        <w:fldChar w:fldCharType="end"/>
      </w:r>
    </w:p>
    <w:p>
      <w:pPr>
        <w:pStyle w:val="10"/>
        <w:tabs>
          <w:tab w:val="right" w:leader="dot" w:pos="8306"/>
        </w:tabs>
        <w:ind w:left="640"/>
      </w:pPr>
      <w:r>
        <w:fldChar w:fldCharType="begin"/>
      </w:r>
      <w:r>
        <w:instrText xml:space="preserve"> HYPERLINK \l "_Toc12307" </w:instrText>
      </w:r>
      <w:r>
        <w:fldChar w:fldCharType="separate"/>
      </w:r>
      <w:r>
        <w:rPr>
          <w:rFonts w:hint="eastAsia"/>
        </w:rPr>
        <w:t>（一）评价方法</w:t>
      </w:r>
      <w:r>
        <w:tab/>
      </w:r>
      <w:r>
        <w:fldChar w:fldCharType="begin"/>
      </w:r>
      <w:r>
        <w:instrText xml:space="preserve"> PAGEREF _Toc12307 \h </w:instrText>
      </w:r>
      <w:r>
        <w:fldChar w:fldCharType="separate"/>
      </w:r>
      <w:r>
        <w:t>2</w:t>
      </w:r>
      <w:r>
        <w:fldChar w:fldCharType="end"/>
      </w:r>
      <w:r>
        <w:fldChar w:fldCharType="end"/>
      </w:r>
    </w:p>
    <w:p>
      <w:pPr>
        <w:pStyle w:val="10"/>
        <w:tabs>
          <w:tab w:val="right" w:leader="dot" w:pos="8306"/>
        </w:tabs>
        <w:ind w:left="640"/>
      </w:pPr>
      <w:r>
        <w:fldChar w:fldCharType="begin"/>
      </w:r>
      <w:r>
        <w:instrText xml:space="preserve"> HYPERLINK \l "_Toc25686" </w:instrText>
      </w:r>
      <w:r>
        <w:fldChar w:fldCharType="separate"/>
      </w:r>
      <w:r>
        <w:rPr>
          <w:rFonts w:hint="eastAsia"/>
        </w:rPr>
        <w:t>（二）工作程序</w:t>
      </w:r>
      <w:r>
        <w:tab/>
      </w:r>
      <w:r>
        <w:fldChar w:fldCharType="begin"/>
      </w:r>
      <w:r>
        <w:instrText xml:space="preserve"> PAGEREF _Toc25686 \h </w:instrText>
      </w:r>
      <w:r>
        <w:fldChar w:fldCharType="separate"/>
      </w:r>
      <w:r>
        <w:t>3</w:t>
      </w:r>
      <w:r>
        <w:fldChar w:fldCharType="end"/>
      </w:r>
      <w:r>
        <w:fldChar w:fldCharType="end"/>
      </w:r>
    </w:p>
    <w:p>
      <w:pPr>
        <w:pStyle w:val="9"/>
        <w:tabs>
          <w:tab w:val="right" w:leader="dot" w:pos="8306"/>
        </w:tabs>
      </w:pPr>
      <w:r>
        <w:fldChar w:fldCharType="begin"/>
      </w:r>
      <w:r>
        <w:instrText xml:space="preserve"> HYPERLINK \l "_Toc3418" </w:instrText>
      </w:r>
      <w:r>
        <w:fldChar w:fldCharType="separate"/>
      </w:r>
      <w:r>
        <w:rPr>
          <w:rFonts w:hint="eastAsia"/>
        </w:rPr>
        <w:t>三</w:t>
      </w:r>
      <w:r>
        <w:t>、综合评价结论</w:t>
      </w:r>
      <w:r>
        <w:tab/>
      </w:r>
      <w:r>
        <w:fldChar w:fldCharType="begin"/>
      </w:r>
      <w:r>
        <w:instrText xml:space="preserve"> PAGEREF _Toc3418 \h </w:instrText>
      </w:r>
      <w:r>
        <w:fldChar w:fldCharType="separate"/>
      </w:r>
      <w:r>
        <w:t>3</w:t>
      </w:r>
      <w:r>
        <w:fldChar w:fldCharType="end"/>
      </w:r>
      <w:r>
        <w:fldChar w:fldCharType="end"/>
      </w:r>
    </w:p>
    <w:p>
      <w:pPr>
        <w:pStyle w:val="9"/>
        <w:tabs>
          <w:tab w:val="right" w:leader="dot" w:pos="8306"/>
        </w:tabs>
      </w:pPr>
      <w:r>
        <w:fldChar w:fldCharType="begin"/>
      </w:r>
      <w:r>
        <w:instrText xml:space="preserve"> HYPERLINK \l "_Toc18202" </w:instrText>
      </w:r>
      <w:r>
        <w:fldChar w:fldCharType="separate"/>
      </w:r>
      <w:r>
        <w:rPr>
          <w:rFonts w:hint="eastAsia"/>
        </w:rPr>
        <w:t>四、</w:t>
      </w:r>
      <w:r>
        <w:t>绩效目标实现情况分析</w:t>
      </w:r>
      <w:r>
        <w:tab/>
      </w:r>
      <w:r>
        <w:fldChar w:fldCharType="begin"/>
      </w:r>
      <w:r>
        <w:instrText xml:space="preserve"> PAGEREF _Toc18202 \h </w:instrText>
      </w:r>
      <w:r>
        <w:fldChar w:fldCharType="separate"/>
      </w:r>
      <w:r>
        <w:t>6</w:t>
      </w:r>
      <w:r>
        <w:fldChar w:fldCharType="end"/>
      </w:r>
      <w:r>
        <w:fldChar w:fldCharType="end"/>
      </w:r>
    </w:p>
    <w:p>
      <w:pPr>
        <w:pStyle w:val="10"/>
        <w:tabs>
          <w:tab w:val="right" w:leader="dot" w:pos="8306"/>
        </w:tabs>
        <w:ind w:left="640"/>
      </w:pPr>
      <w:r>
        <w:fldChar w:fldCharType="begin"/>
      </w:r>
      <w:r>
        <w:instrText xml:space="preserve"> HYPERLINK \l "_Toc10468" </w:instrText>
      </w:r>
      <w:r>
        <w:fldChar w:fldCharType="separate"/>
      </w:r>
      <w:r>
        <w:rPr>
          <w:rFonts w:hint="eastAsia"/>
        </w:rPr>
        <w:t>（</w:t>
      </w:r>
      <w:r>
        <w:t>一</w:t>
      </w:r>
      <w:r>
        <w:rPr>
          <w:rFonts w:hint="eastAsia"/>
        </w:rPr>
        <w:t>）</w:t>
      </w:r>
      <w:r>
        <w:t>部门资金情况分析</w:t>
      </w:r>
      <w:r>
        <w:tab/>
      </w:r>
      <w:r>
        <w:fldChar w:fldCharType="begin"/>
      </w:r>
      <w:r>
        <w:instrText xml:space="preserve"> PAGEREF _Toc10468 \h </w:instrText>
      </w:r>
      <w:r>
        <w:fldChar w:fldCharType="separate"/>
      </w:r>
      <w:r>
        <w:t>6</w:t>
      </w:r>
      <w:r>
        <w:fldChar w:fldCharType="end"/>
      </w:r>
      <w:r>
        <w:fldChar w:fldCharType="end"/>
      </w:r>
    </w:p>
    <w:p>
      <w:pPr>
        <w:pStyle w:val="10"/>
        <w:tabs>
          <w:tab w:val="right" w:leader="dot" w:pos="8306"/>
        </w:tabs>
        <w:ind w:left="640"/>
      </w:pPr>
      <w:r>
        <w:fldChar w:fldCharType="begin"/>
      </w:r>
      <w:r>
        <w:instrText xml:space="preserve"> HYPERLINK \l "_Toc3607" </w:instrText>
      </w:r>
      <w:r>
        <w:fldChar w:fldCharType="separate"/>
      </w:r>
      <w:r>
        <w:rPr>
          <w:rFonts w:hint="eastAsia"/>
        </w:rPr>
        <w:t>（</w:t>
      </w:r>
      <w:r>
        <w:t>二</w:t>
      </w:r>
      <w:r>
        <w:rPr>
          <w:rFonts w:hint="eastAsia"/>
        </w:rPr>
        <w:t>）</w:t>
      </w:r>
      <w:r>
        <w:t>项目绩效指标完成情况分析</w:t>
      </w:r>
      <w:r>
        <w:tab/>
      </w:r>
      <w:r>
        <w:fldChar w:fldCharType="begin"/>
      </w:r>
      <w:r>
        <w:instrText xml:space="preserve"> PAGEREF _Toc3607 \h </w:instrText>
      </w:r>
      <w:r>
        <w:fldChar w:fldCharType="separate"/>
      </w:r>
      <w:r>
        <w:t>9</w:t>
      </w:r>
      <w:r>
        <w:fldChar w:fldCharType="end"/>
      </w:r>
      <w:r>
        <w:fldChar w:fldCharType="end"/>
      </w:r>
    </w:p>
    <w:p>
      <w:pPr>
        <w:pStyle w:val="9"/>
        <w:tabs>
          <w:tab w:val="right" w:leader="dot" w:pos="8306"/>
        </w:tabs>
      </w:pPr>
      <w:r>
        <w:fldChar w:fldCharType="begin"/>
      </w:r>
      <w:r>
        <w:instrText xml:space="preserve"> HYPERLINK \l "_Toc22457" </w:instrText>
      </w:r>
      <w:r>
        <w:fldChar w:fldCharType="separate"/>
      </w:r>
      <w:r>
        <w:t>五、发现的主要问题和改进措施</w:t>
      </w:r>
      <w:r>
        <w:tab/>
      </w:r>
      <w:r>
        <w:fldChar w:fldCharType="begin"/>
      </w:r>
      <w:r>
        <w:instrText xml:space="preserve"> PAGEREF _Toc22457 \h </w:instrText>
      </w:r>
      <w:r>
        <w:fldChar w:fldCharType="separate"/>
      </w:r>
      <w:r>
        <w:t>15</w:t>
      </w:r>
      <w:r>
        <w:fldChar w:fldCharType="end"/>
      </w:r>
      <w:r>
        <w:fldChar w:fldCharType="end"/>
      </w:r>
    </w:p>
    <w:p>
      <w:pPr>
        <w:pStyle w:val="10"/>
        <w:tabs>
          <w:tab w:val="right" w:leader="dot" w:pos="8306"/>
        </w:tabs>
        <w:ind w:left="640"/>
      </w:pPr>
      <w:r>
        <w:fldChar w:fldCharType="begin"/>
      </w:r>
      <w:r>
        <w:instrText xml:space="preserve"> HYPERLINK \l "_Toc1104" </w:instrText>
      </w:r>
      <w:r>
        <w:fldChar w:fldCharType="separate"/>
      </w:r>
      <w:r>
        <w:rPr>
          <w:rFonts w:hint="eastAsia"/>
        </w:rPr>
        <w:t>（一）</w:t>
      </w:r>
      <w:r>
        <w:t>发现的主要问题</w:t>
      </w:r>
      <w:r>
        <w:tab/>
      </w:r>
      <w:r>
        <w:fldChar w:fldCharType="begin"/>
      </w:r>
      <w:r>
        <w:instrText xml:space="preserve"> PAGEREF _Toc1104 \h </w:instrText>
      </w:r>
      <w:r>
        <w:fldChar w:fldCharType="separate"/>
      </w:r>
      <w:r>
        <w:t>15</w:t>
      </w:r>
      <w:r>
        <w:fldChar w:fldCharType="end"/>
      </w:r>
      <w:r>
        <w:fldChar w:fldCharType="end"/>
      </w:r>
    </w:p>
    <w:p>
      <w:pPr>
        <w:pStyle w:val="10"/>
        <w:tabs>
          <w:tab w:val="right" w:leader="dot" w:pos="8306"/>
        </w:tabs>
        <w:ind w:left="640"/>
      </w:pPr>
      <w:r>
        <w:fldChar w:fldCharType="begin"/>
      </w:r>
      <w:r>
        <w:instrText xml:space="preserve"> HYPERLINK \l "_Toc17027" </w:instrText>
      </w:r>
      <w:r>
        <w:fldChar w:fldCharType="separate"/>
      </w:r>
      <w:r>
        <w:rPr>
          <w:rFonts w:hint="eastAsia"/>
        </w:rPr>
        <w:t>（二）</w:t>
      </w:r>
      <w:r>
        <w:rPr>
          <w:lang w:val="zh-CN"/>
        </w:rPr>
        <w:t>下一步改进措施</w:t>
      </w:r>
      <w:r>
        <w:tab/>
      </w:r>
      <w:r>
        <w:fldChar w:fldCharType="begin"/>
      </w:r>
      <w:r>
        <w:instrText xml:space="preserve"> PAGEREF _Toc17027 \h </w:instrText>
      </w:r>
      <w:r>
        <w:fldChar w:fldCharType="separate"/>
      </w:r>
      <w:r>
        <w:t>15</w:t>
      </w:r>
      <w:r>
        <w:fldChar w:fldCharType="end"/>
      </w:r>
      <w:r>
        <w:fldChar w:fldCharType="end"/>
      </w:r>
    </w:p>
    <w:p>
      <w:pPr>
        <w:pStyle w:val="10"/>
        <w:tabs>
          <w:tab w:val="right" w:leader="dot" w:pos="8306"/>
        </w:tabs>
        <w:ind w:left="640"/>
      </w:pPr>
      <w:r>
        <w:fldChar w:fldCharType="begin"/>
      </w:r>
      <w:r>
        <w:instrText xml:space="preserve"> HYPERLINK \l "_Toc23218" </w:instrText>
      </w:r>
      <w:r>
        <w:fldChar w:fldCharType="separate"/>
      </w:r>
      <w:r>
        <w:rPr>
          <w:rFonts w:hint="eastAsia"/>
        </w:rPr>
        <w:t>（三）绩效自评结果应用</w:t>
      </w:r>
      <w:r>
        <w:tab/>
      </w:r>
      <w:r>
        <w:fldChar w:fldCharType="begin"/>
      </w:r>
      <w:r>
        <w:instrText xml:space="preserve"> PAGEREF _Toc23218 \h </w:instrText>
      </w:r>
      <w:r>
        <w:fldChar w:fldCharType="separate"/>
      </w:r>
      <w:r>
        <w:t>15</w:t>
      </w:r>
      <w:r>
        <w:fldChar w:fldCharType="end"/>
      </w:r>
      <w:r>
        <w:fldChar w:fldCharType="end"/>
      </w:r>
    </w:p>
    <w:p>
      <w:pPr>
        <w:pStyle w:val="9"/>
        <w:tabs>
          <w:tab w:val="right" w:leader="dot" w:pos="8306"/>
        </w:tabs>
      </w:pPr>
      <w:r>
        <w:fldChar w:fldCharType="begin"/>
      </w:r>
      <w:r>
        <w:instrText xml:space="preserve"> HYPERLINK \l "_Toc32190" </w:instrText>
      </w:r>
      <w:r>
        <w:fldChar w:fldCharType="separate"/>
      </w:r>
      <w:r>
        <w:rPr>
          <w:rFonts w:hint="eastAsia"/>
        </w:rPr>
        <w:t>六、有关建议</w:t>
      </w:r>
      <w:r>
        <w:tab/>
      </w:r>
      <w:r>
        <w:fldChar w:fldCharType="begin"/>
      </w:r>
      <w:r>
        <w:instrText xml:space="preserve"> PAGEREF _Toc32190 \h </w:instrText>
      </w:r>
      <w:r>
        <w:fldChar w:fldCharType="separate"/>
      </w:r>
      <w:r>
        <w:t>16</w:t>
      </w:r>
      <w:r>
        <w:fldChar w:fldCharType="end"/>
      </w:r>
      <w:r>
        <w:fldChar w:fldCharType="end"/>
      </w:r>
    </w:p>
    <w:p>
      <w:pPr>
        <w:pStyle w:val="9"/>
        <w:tabs>
          <w:tab w:val="right" w:leader="dot" w:pos="8306"/>
        </w:tabs>
      </w:pPr>
      <w:r>
        <w:fldChar w:fldCharType="begin"/>
      </w:r>
      <w:r>
        <w:instrText xml:space="preserve"> HYPERLINK \l "_Toc26117" </w:instrText>
      </w:r>
      <w:r>
        <w:fldChar w:fldCharType="separate"/>
      </w:r>
      <w:r>
        <w:t>七、</w:t>
      </w:r>
      <w:r>
        <w:rPr>
          <w:rFonts w:hint="eastAsia"/>
        </w:rPr>
        <w:t>其他需要说明的问题</w:t>
      </w:r>
      <w:r>
        <w:tab/>
      </w:r>
      <w:r>
        <w:fldChar w:fldCharType="begin"/>
      </w:r>
      <w:r>
        <w:instrText xml:space="preserve"> PAGEREF _Toc26117 \h </w:instrText>
      </w:r>
      <w:r>
        <w:fldChar w:fldCharType="separate"/>
      </w:r>
      <w:r>
        <w:t>16</w:t>
      </w:r>
      <w:r>
        <w:fldChar w:fldCharType="end"/>
      </w:r>
      <w:r>
        <w:fldChar w:fldCharType="end"/>
      </w:r>
    </w:p>
    <w:p>
      <w:pPr>
        <w:pStyle w:val="10"/>
        <w:tabs>
          <w:tab w:val="right" w:leader="dot" w:pos="8306"/>
        </w:tabs>
        <w:ind w:left="640"/>
      </w:pPr>
      <w:r>
        <w:fldChar w:fldCharType="begin"/>
      </w:r>
      <w:r>
        <w:instrText xml:space="preserve"> HYPERLINK \l "_Toc15457" </w:instrText>
      </w:r>
      <w:r>
        <w:fldChar w:fldCharType="separate"/>
      </w:r>
      <w:r>
        <w:rPr>
          <w:rFonts w:hint="eastAsia"/>
        </w:rPr>
        <w:t>（一）绩效自评工作经验</w:t>
      </w:r>
      <w:r>
        <w:tab/>
      </w:r>
      <w:r>
        <w:fldChar w:fldCharType="begin"/>
      </w:r>
      <w:r>
        <w:instrText xml:space="preserve"> PAGEREF _Toc15457 \h </w:instrText>
      </w:r>
      <w:r>
        <w:fldChar w:fldCharType="separate"/>
      </w:r>
      <w:r>
        <w:t>16</w:t>
      </w:r>
      <w:r>
        <w:fldChar w:fldCharType="end"/>
      </w:r>
      <w:r>
        <w:fldChar w:fldCharType="end"/>
      </w:r>
    </w:p>
    <w:p>
      <w:pPr>
        <w:pStyle w:val="10"/>
        <w:tabs>
          <w:tab w:val="right" w:leader="dot" w:pos="8306"/>
        </w:tabs>
        <w:ind w:left="640"/>
      </w:pPr>
      <w:r>
        <w:fldChar w:fldCharType="begin"/>
      </w:r>
      <w:r>
        <w:instrText xml:space="preserve"> HYPERLINK \l "_Toc16742" </w:instrText>
      </w:r>
      <w:r>
        <w:fldChar w:fldCharType="separate"/>
      </w:r>
      <w:r>
        <w:rPr>
          <w:rFonts w:hint="eastAsia"/>
        </w:rPr>
        <w:t>（二）绩效自评工作发现的其他问题</w:t>
      </w:r>
      <w:r>
        <w:tab/>
      </w:r>
      <w:r>
        <w:fldChar w:fldCharType="begin"/>
      </w:r>
      <w:r>
        <w:instrText xml:space="preserve"> PAGEREF _Toc16742 \h </w:instrText>
      </w:r>
      <w:r>
        <w:fldChar w:fldCharType="separate"/>
      </w:r>
      <w:r>
        <w:t>16</w:t>
      </w:r>
      <w:r>
        <w:fldChar w:fldCharType="end"/>
      </w:r>
      <w:r>
        <w:fldChar w:fldCharType="end"/>
      </w:r>
    </w:p>
    <w:p>
      <w:pPr>
        <w:pStyle w:val="9"/>
        <w:tabs>
          <w:tab w:val="right" w:leader="dot" w:pos="8306"/>
        </w:tabs>
      </w:pPr>
      <w:r>
        <w:fldChar w:fldCharType="begin"/>
      </w:r>
      <w:r>
        <w:instrText xml:space="preserve"> HYPERLINK \l "_Toc14584" </w:instrText>
      </w:r>
      <w:r>
        <w:fldChar w:fldCharType="separate"/>
      </w:r>
      <w:r>
        <w:rPr>
          <w:rFonts w:hint="eastAsia"/>
        </w:rPr>
        <w:t>附件1：2021年度部门整体绩效自评表</w:t>
      </w:r>
      <w:r>
        <w:tab/>
      </w:r>
      <w:r>
        <w:fldChar w:fldCharType="begin"/>
      </w:r>
      <w:r>
        <w:instrText xml:space="preserve"> PAGEREF _Toc14584 \h </w:instrText>
      </w:r>
      <w:r>
        <w:fldChar w:fldCharType="separate"/>
      </w:r>
      <w:r>
        <w:t>17</w:t>
      </w:r>
      <w:r>
        <w:fldChar w:fldCharType="end"/>
      </w:r>
      <w:r>
        <w:fldChar w:fldCharType="end"/>
      </w:r>
    </w:p>
    <w:p>
      <w:pPr>
        <w:pStyle w:val="18"/>
        <w:ind w:firstLine="640"/>
        <w:rPr>
          <w:rFonts w:hint="default"/>
        </w:rPr>
      </w:pPr>
      <w:r>
        <w:fldChar w:fldCharType="end"/>
      </w:r>
    </w:p>
    <w:p>
      <w:pPr>
        <w:pStyle w:val="18"/>
        <w:ind w:firstLine="640"/>
        <w:rPr>
          <w:rFonts w:hint="default"/>
        </w:rPr>
        <w:sectPr>
          <w:footerReference r:id="rId11" w:type="default"/>
          <w:pgSz w:w="11906" w:h="16838"/>
          <w:pgMar w:top="1440" w:right="1800" w:bottom="1440" w:left="1800" w:header="851" w:footer="737" w:gutter="0"/>
          <w:pgNumType w:fmt="upperRoman" w:start="1"/>
          <w:cols w:space="0" w:num="1"/>
          <w:docGrid w:linePitch="312" w:charSpace="0"/>
        </w:sectPr>
      </w:pPr>
    </w:p>
    <w:bookmarkEnd w:id="1"/>
    <w:p>
      <w:pPr>
        <w:ind w:firstLine="0" w:firstLineChars="0"/>
        <w:jc w:val="center"/>
        <w:rPr>
          <w:rFonts w:ascii="黑体" w:hAnsi="黑体" w:eastAsia="黑体" w:cs="黑体"/>
          <w:b/>
          <w:bCs/>
          <w:sz w:val="44"/>
          <w:szCs w:val="36"/>
        </w:rPr>
      </w:pPr>
      <w:bookmarkStart w:id="2" w:name="_Toc23630"/>
      <w:bookmarkStart w:id="3" w:name="_Toc6550"/>
      <w:bookmarkStart w:id="4" w:name="_Toc28057"/>
      <w:bookmarkStart w:id="5" w:name="_Toc12961"/>
      <w:bookmarkStart w:id="6" w:name="_Toc27842"/>
      <w:r>
        <w:rPr>
          <w:rFonts w:hint="eastAsia" w:ascii="黑体" w:hAnsi="黑体" w:eastAsia="黑体" w:cs="黑体"/>
          <w:b/>
          <w:bCs/>
          <w:sz w:val="44"/>
          <w:szCs w:val="36"/>
        </w:rPr>
        <w:t>中国共产党太康县纪律检查委员会</w:t>
      </w:r>
    </w:p>
    <w:p>
      <w:pPr>
        <w:ind w:firstLine="0" w:firstLineChars="0"/>
        <w:jc w:val="center"/>
        <w:rPr>
          <w:sz w:val="44"/>
          <w:szCs w:val="36"/>
        </w:rPr>
      </w:pPr>
      <w:r>
        <w:rPr>
          <w:rFonts w:hint="eastAsia" w:ascii="黑体" w:hAnsi="黑体" w:eastAsia="黑体" w:cs="黑体"/>
          <w:b/>
          <w:bCs/>
          <w:sz w:val="44"/>
          <w:szCs w:val="36"/>
        </w:rPr>
        <w:t>2021年度部门整体自评报告</w:t>
      </w:r>
      <w:bookmarkEnd w:id="2"/>
      <w:bookmarkEnd w:id="3"/>
      <w:bookmarkEnd w:id="4"/>
      <w:bookmarkEnd w:id="5"/>
      <w:bookmarkEnd w:id="6"/>
    </w:p>
    <w:p>
      <w:pPr>
        <w:pStyle w:val="18"/>
        <w:ind w:firstLine="640"/>
        <w:rPr>
          <w:rFonts w:hint="default"/>
        </w:rPr>
      </w:pPr>
      <w:r>
        <w:t>为深入贯彻落实《中共河南省委 河南省人民政府关于全面实施预算绩效管理的实施意见》（豫发〔2019〕10号）有关要求，健全绩效管理常态化机制，强化部门预算绩效管理主体责任，提高财政资金使用效益。按照《关于开展2021年度部门整体支出绩效自评工作的通知》文件的相关要求，我单位高度重视，成立了绩效自评工作领导小组，通过基础资料收集、线上、线下问卷调查、数据汇总分析等工作程序，对部门整体的情况进行全面了解，根据文件要求，形成如下绩效自评报告。现将有关情况报告如下：</w:t>
      </w:r>
    </w:p>
    <w:p>
      <w:pPr>
        <w:pStyle w:val="3"/>
      </w:pPr>
      <w:bookmarkStart w:id="7" w:name="_Toc3240"/>
      <w:r>
        <w:rPr>
          <w:rFonts w:hint="eastAsia"/>
        </w:rPr>
        <w:t>一、基本情况</w:t>
      </w:r>
      <w:bookmarkEnd w:id="7"/>
    </w:p>
    <w:p>
      <w:pPr>
        <w:pStyle w:val="4"/>
      </w:pPr>
      <w:bookmarkStart w:id="8" w:name="_Toc14104"/>
      <w:r>
        <w:rPr>
          <w:rFonts w:hint="eastAsia"/>
        </w:rPr>
        <w:t>（一）单位简介</w:t>
      </w:r>
      <w:bookmarkEnd w:id="8"/>
    </w:p>
    <w:p>
      <w:pPr>
        <w:pStyle w:val="18"/>
        <w:ind w:firstLine="640"/>
        <w:rPr>
          <w:rFonts w:hint="default"/>
          <w:highlight w:val="yellow"/>
        </w:rPr>
      </w:pPr>
      <w:r>
        <w:t>中共太康县纪律检查委员会（以下简称县纪委）由县党代表大会选举产生，太康县监察委员会（以下简称县监委）由县人民代表大会产生。县纪委与县监委合署办公，实行一套工作机构、两个机关名称，履行党的纪律检查和国家监察两项职责，在县委和市纪委监委的双重领导下进行工作，并加强对下级纪检监察机构的领导。同时，县监委对县人民代表大会及其常务委员会和市监委负责，并接受其监督。单位性质行政，经费预算性质财政预算拨款，内设多个职能部门，包括办公室、组织部、宣传部、机关党委、调研法规室、信访室、案件监督管理室、案件审理室、党风政风监督室、第一至第十纪检监察室、纪检监察干部监督室、网络信息室等。</w:t>
      </w:r>
    </w:p>
    <w:p>
      <w:pPr>
        <w:pStyle w:val="4"/>
      </w:pPr>
      <w:bookmarkStart w:id="9" w:name="_Toc27471"/>
      <w:r>
        <w:rPr>
          <w:rFonts w:hint="eastAsia"/>
        </w:rPr>
        <w:t>（二）</w:t>
      </w:r>
      <w:r>
        <w:t>年度部门总目标及主要任务</w:t>
      </w:r>
      <w:bookmarkEnd w:id="9"/>
    </w:p>
    <w:p>
      <w:pPr>
        <w:pStyle w:val="18"/>
        <w:ind w:firstLine="640"/>
        <w:rPr>
          <w:rFonts w:hint="default"/>
        </w:rPr>
      </w:pPr>
      <w:bookmarkStart w:id="10" w:name="_Toc5610"/>
      <w:bookmarkStart w:id="11" w:name="_Toc21119"/>
      <w:bookmarkStart w:id="12" w:name="_Toc18200"/>
      <w:r>
        <w:t>根据工作计划并结合部门年初工作要点，我单位制定了如下年度目标及任务：</w:t>
      </w:r>
      <w:bookmarkEnd w:id="10"/>
      <w:bookmarkEnd w:id="11"/>
      <w:bookmarkEnd w:id="12"/>
    </w:p>
    <w:p>
      <w:pPr>
        <w:pStyle w:val="5"/>
        <w:ind w:firstLine="643"/>
      </w:pPr>
      <w:r>
        <w:rPr>
          <w:rFonts w:hint="eastAsia"/>
        </w:rPr>
        <w:t>1.年度总体目标</w:t>
      </w:r>
    </w:p>
    <w:p>
      <w:pPr>
        <w:pStyle w:val="18"/>
        <w:ind w:firstLine="640"/>
        <w:rPr>
          <w:rFonts w:hint="default"/>
        </w:rPr>
      </w:pPr>
      <w:r>
        <w:t>目标1：紧盯“稳经济一揽子政策措施”落实、疫情防控、防范化解重点领域风险、营造亲清政商关系、整治“两违规”突出问题.</w:t>
      </w:r>
    </w:p>
    <w:p>
      <w:pPr>
        <w:pStyle w:val="18"/>
        <w:ind w:firstLine="640"/>
        <w:rPr>
          <w:rFonts w:hint="default"/>
        </w:rPr>
      </w:pPr>
      <w:r>
        <w:t>目标2：立足“监督的再监督”职能定位，充分发挥监督保障执行、促进完善发展作用。</w:t>
      </w:r>
    </w:p>
    <w:p>
      <w:pPr>
        <w:pStyle w:val="18"/>
        <w:ind w:firstLine="640"/>
        <w:rPr>
          <w:rFonts w:hint="default"/>
        </w:rPr>
      </w:pPr>
      <w:r>
        <w:t>目标3：组织各级纪检监察干部深入一线，强化监督、压实责任，以高质量监督稳经济、保落实、促发展。</w:t>
      </w:r>
    </w:p>
    <w:p>
      <w:pPr>
        <w:pStyle w:val="5"/>
        <w:ind w:firstLine="643"/>
      </w:pPr>
      <w:r>
        <w:rPr>
          <w:rFonts w:hint="eastAsia"/>
        </w:rPr>
        <w:t>2.年度主要工作内容</w:t>
      </w:r>
    </w:p>
    <w:p>
      <w:pPr>
        <w:pStyle w:val="18"/>
        <w:ind w:firstLine="640"/>
        <w:rPr>
          <w:rFonts w:hint="default"/>
        </w:rPr>
      </w:pPr>
      <w:r>
        <w:t>任务1：紧盯“稳经济一揽子政策措施”落实，整治形式主义、官僚主义问题。监督全县各级党委政府和职能部门认真学习贯彻习近平经济思想，贯彻落实好国务院《扎实稳住经济一揽子政策措施》要求和《河南省贯彻落实稳住经济一揽子政策措施实施方案》各项具体任务，以及我县制定的落实措施，严肃查处执行不力、选择执行，政策棚架、走样变形，责任虚化空转等问题，严防自由主义、本位主义、保护主义。</w:t>
      </w:r>
    </w:p>
    <w:p>
      <w:pPr>
        <w:pStyle w:val="18"/>
        <w:ind w:firstLine="640"/>
        <w:rPr>
          <w:rFonts w:hint="default"/>
        </w:rPr>
      </w:pPr>
      <w:r>
        <w:t>任务2：紧盯疫情防控，坚决守住长周期不发生规模性疫情底线。监督全县各级党委政府和职能部门深刻、完整、全面认识党中央确定的疫情防控方针政策，坚决克服认识不足、准备不足、工作不足等问题，坚决克服轻视、无所谓、自以为是等思想，毫不动摇坚持“外防输入、内防反弹”总策略和“动态清零”总方针。</w:t>
      </w:r>
    </w:p>
    <w:p>
      <w:pPr>
        <w:pStyle w:val="18"/>
        <w:ind w:firstLine="640"/>
        <w:rPr>
          <w:rFonts w:hint="default"/>
        </w:rPr>
      </w:pPr>
      <w:r>
        <w:t>任务3：紧盯重点领域，防范化解重大风险。聚焦金融领域、粮食安全、防汛救灾、社会稳定等重点领域的隐患排查化解工作，坚决压实各级党委政府和职能部门责任，严防对党中央关于防范化解重大风险的决策部署不尽责、不在乎、喊口号、装样子的错误行为，坚决守住不发生重大风险底线。</w:t>
      </w:r>
    </w:p>
    <w:p>
      <w:pPr>
        <w:pStyle w:val="18"/>
        <w:ind w:firstLine="640"/>
        <w:rPr>
          <w:rFonts w:hint="default"/>
        </w:rPr>
      </w:pPr>
      <w:r>
        <w:t>任务4：紧盯构建亲清政商关系，深化营商环境监督治理。按照全省纪检监察机关营商环境监督治理“六个一”工作部署，对照省委省政府政商交往“九要、九不得”正负面清单，结合我县营商环境监督治理工作要求，努力构建既“亲”又“清”的政商关系。</w:t>
      </w:r>
    </w:p>
    <w:p>
      <w:pPr>
        <w:pStyle w:val="18"/>
        <w:ind w:firstLine="640"/>
        <w:rPr>
          <w:rFonts w:hint="default"/>
        </w:rPr>
      </w:pPr>
      <w:r>
        <w:t>任务5：紧盯整治“两违规”突出问题，加固中央八项规定堤坝。突出重点、集中力量整治违规吃喝、违规收送礼品礼金问题，形成强大震慑、确保工作实效。</w:t>
      </w:r>
    </w:p>
    <w:p>
      <w:pPr>
        <w:pStyle w:val="5"/>
        <w:ind w:firstLine="643"/>
      </w:pPr>
      <w:r>
        <w:rPr>
          <w:rFonts w:hint="eastAsia"/>
        </w:rPr>
        <w:t>3.</w:t>
      </w:r>
      <w:r>
        <w:t>年度部门整体预算绩效目标、绩效指标设定情况</w:t>
      </w:r>
    </w:p>
    <w:p>
      <w:pPr>
        <w:pStyle w:val="18"/>
        <w:ind w:firstLine="640"/>
        <w:rPr>
          <w:rFonts w:hint="default"/>
        </w:rPr>
      </w:pPr>
      <w:bookmarkStart w:id="13" w:name="_Toc19880"/>
      <w:bookmarkStart w:id="14" w:name="_Toc10759"/>
      <w:bookmarkStart w:id="15" w:name="_Toc12027"/>
      <w:bookmarkStart w:id="16" w:name="_Toc25009"/>
      <w:bookmarkStart w:id="17" w:name="_Toc23108"/>
      <w:r>
        <w:t>我单位根据2021年度工作计划，按照相关文件要求，制定部门年度整体预算绩效目标表，具体内容详见附件1；</w:t>
      </w:r>
      <w:bookmarkEnd w:id="13"/>
      <w:bookmarkEnd w:id="14"/>
      <w:bookmarkEnd w:id="15"/>
      <w:bookmarkEnd w:id="16"/>
      <w:bookmarkEnd w:id="17"/>
    </w:p>
    <w:p>
      <w:pPr>
        <w:pStyle w:val="18"/>
        <w:ind w:firstLine="640"/>
        <w:rPr>
          <w:rFonts w:hint="default"/>
        </w:rPr>
      </w:pPr>
      <w:r>
        <w:t>本次自评指标体系包括3个一级指标、7个二级指标、29个三级指标。其中一级指标从投入管理指标、产出指标、效益指标3个方面，对一级指标进行细化评价；二级指标从整体工作目标管理情况、预算和财务管理、绩效管理、重点工作任务完成、履职目标实现、履职效益、满意度7个方面对一级指标进行细化评价，三级指标是对二级指标的细化、量化。</w:t>
      </w:r>
    </w:p>
    <w:p>
      <w:pPr>
        <w:pStyle w:val="3"/>
      </w:pPr>
      <w:bookmarkStart w:id="18" w:name="_Toc31554"/>
      <w:r>
        <w:rPr>
          <w:rFonts w:hint="eastAsia"/>
        </w:rPr>
        <w:t>二</w:t>
      </w:r>
      <w:r>
        <w:t>、绩效自评工作开展情况</w:t>
      </w:r>
      <w:bookmarkEnd w:id="18"/>
    </w:p>
    <w:p>
      <w:pPr>
        <w:pStyle w:val="4"/>
      </w:pPr>
      <w:bookmarkStart w:id="19" w:name="_Toc12307"/>
      <w:r>
        <w:rPr>
          <w:rFonts w:hint="eastAsia"/>
        </w:rPr>
        <w:t>（一）评价方法</w:t>
      </w:r>
      <w:bookmarkEnd w:id="19"/>
    </w:p>
    <w:p>
      <w:pPr>
        <w:pStyle w:val="18"/>
        <w:ind w:firstLine="640"/>
        <w:rPr>
          <w:rFonts w:hint="default"/>
        </w:rPr>
      </w:pPr>
      <w:r>
        <w:t>一是对照“部门整体支出绩效评价指标体系评分表”的主要考评内容及工作完成情况，将可以公开的资料整理成佐证材料。对照当年工作计划和上级交办的各项工作内容，进行自评、复核，形成总体得分。</w:t>
      </w:r>
    </w:p>
    <w:p>
      <w:pPr>
        <w:pStyle w:val="18"/>
        <w:ind w:firstLine="640"/>
        <w:rPr>
          <w:rFonts w:hint="default"/>
        </w:rPr>
      </w:pPr>
      <w:r>
        <w:t>二是制作了网络调查问卷，指派专人管理，对评价情况进行统计、汇总和复核后，形成我单位社会满意度调查结果。</w:t>
      </w:r>
    </w:p>
    <w:p>
      <w:pPr>
        <w:pStyle w:val="18"/>
        <w:ind w:firstLine="640"/>
        <w:rPr>
          <w:rFonts w:hint="default"/>
        </w:rPr>
      </w:pPr>
      <w:r>
        <w:t>三是组织纳入部门整体支出绩效评价范围的局属单位开展部门绩效评价工作，特别是专项项目实施绩效自评，并通过部门上报数据和资料、实地核查分析、重点抽查及调查问卷等方式客观进行整体评价、打分。</w:t>
      </w:r>
    </w:p>
    <w:p>
      <w:pPr>
        <w:pStyle w:val="4"/>
      </w:pPr>
      <w:bookmarkStart w:id="20" w:name="_Toc25686"/>
      <w:r>
        <w:rPr>
          <w:rFonts w:hint="eastAsia"/>
        </w:rPr>
        <w:t>（二）工作程序</w:t>
      </w:r>
      <w:bookmarkEnd w:id="20"/>
    </w:p>
    <w:p>
      <w:pPr>
        <w:pStyle w:val="18"/>
        <w:ind w:firstLine="640"/>
        <w:rPr>
          <w:rFonts w:hint="default"/>
        </w:rPr>
      </w:pPr>
      <w:r>
        <w:t>根据周口市太康县财政局《关于开展2021年度部门整体支出绩效自评工作的通知》及要求，我单位成立绩效自评工作组，负责组织实施，明确人员分工，相关人员各司其职，顺利完成本次评价工作。我们针对部门整体支出绩效自评工作，组织分管领导及各科室相关人员参加部门整体支出自评管理，对各科室相关人员进行绩效自评工作培训，认真做好相关材料的准备工作。评价工作启动后，评价工作组与相关科室进行沟通，明确评价要求，初步了解项目基本情况，收集整理相关项目资料，项目组经过深入了解，明确了本次评价目的、方法、指标、标准等内容，并按照前期调研工作思路，启动绩效自评工作，经过数据采集、访谈、实地调研及数据复核、数据分析和报告撰写等环节对2021年度部门整体履职效益进行自评打分，发现问题，并落实整改。</w:t>
      </w:r>
    </w:p>
    <w:p>
      <w:pPr>
        <w:pStyle w:val="3"/>
      </w:pPr>
      <w:bookmarkStart w:id="21" w:name="_Toc3418"/>
      <w:r>
        <w:rPr>
          <w:rFonts w:hint="eastAsia"/>
        </w:rPr>
        <w:t>三</w:t>
      </w:r>
      <w:r>
        <w:t>、综合评价结论</w:t>
      </w:r>
      <w:bookmarkEnd w:id="21"/>
    </w:p>
    <w:p>
      <w:pPr>
        <w:pStyle w:val="18"/>
        <w:ind w:firstLine="640"/>
        <w:jc w:val="both"/>
        <w:rPr>
          <w:rFonts w:hint="default"/>
        </w:rPr>
      </w:pPr>
      <w:r>
        <w:t>依据自评指标体系，通过对预算执行情况、投入管理指标、产出指标、效益指标进行全面综合评价，2021年度我单位整体自评得分为</w:t>
      </w:r>
      <w:r>
        <w:rPr>
          <w:color w:val="FF0000"/>
        </w:rPr>
        <w:t>97</w:t>
      </w:r>
      <w:r>
        <w:t>分，评价等级为“优”。其中，预算执行率一项得分</w:t>
      </w:r>
      <w:r>
        <w:rPr>
          <w:color w:val="FF0000"/>
        </w:rPr>
        <w:t>10</w:t>
      </w:r>
      <w:r>
        <w:t>分，投入管理指标得分</w:t>
      </w:r>
      <w:r>
        <w:rPr>
          <w:color w:val="FF0000"/>
        </w:rPr>
        <w:t>29</w:t>
      </w:r>
      <w:r>
        <w:t>分，产出指标得分</w:t>
      </w:r>
      <w:r>
        <w:rPr>
          <w:color w:val="FF0000"/>
        </w:rPr>
        <w:t>25</w:t>
      </w:r>
      <w:r>
        <w:t>分，效益指标得分</w:t>
      </w:r>
      <w:r>
        <w:rPr>
          <w:color w:val="FF0000"/>
        </w:rPr>
        <w:t>33</w:t>
      </w:r>
      <w:r>
        <w:t>分；总体得分情况如下表3-1，具体指标得分情况详见表3-2；</w:t>
      </w:r>
    </w:p>
    <w:p>
      <w:pPr>
        <w:pStyle w:val="15"/>
        <w:ind w:firstLine="640"/>
      </w:pPr>
      <w:r>
        <w:rPr>
          <w:rFonts w:hint="eastAsia"/>
        </w:rPr>
        <w:t>表</w:t>
      </w:r>
      <w:r>
        <w:t xml:space="preserve">3-1 </w:t>
      </w:r>
      <w:r>
        <w:rPr>
          <w:rFonts w:hint="eastAsia"/>
        </w:rPr>
        <w:t>部门整体得分情况</w:t>
      </w:r>
    </w:p>
    <w:tbl>
      <w:tblPr>
        <w:tblStyle w:val="12"/>
        <w:tblW w:w="49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1717"/>
        <w:gridCol w:w="1776"/>
        <w:gridCol w:w="1228"/>
        <w:gridCol w:w="1074"/>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940"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pPr>
            <w:r>
              <w:rPr>
                <w:rFonts w:hint="eastAsia"/>
              </w:rPr>
              <w:t>一级指标</w:t>
            </w:r>
          </w:p>
        </w:tc>
        <w:tc>
          <w:tcPr>
            <w:tcW w:w="1012"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pPr>
            <w:r>
              <w:rPr>
                <w:rFonts w:hint="eastAsia"/>
              </w:rPr>
              <w:t>预算执行情况</w:t>
            </w:r>
          </w:p>
        </w:tc>
        <w:tc>
          <w:tcPr>
            <w:tcW w:w="1047"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pPr>
            <w:r>
              <w:rPr>
                <w:rFonts w:hint="eastAsia"/>
              </w:rPr>
              <w:t>投入管理指标</w:t>
            </w:r>
          </w:p>
        </w:tc>
        <w:tc>
          <w:tcPr>
            <w:tcW w:w="724"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pPr>
            <w:r>
              <w:rPr>
                <w:rFonts w:hint="eastAsia"/>
              </w:rPr>
              <w:t>产出指标</w:t>
            </w:r>
          </w:p>
        </w:tc>
        <w:tc>
          <w:tcPr>
            <w:tcW w:w="633"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pPr>
            <w:r>
              <w:rPr>
                <w:rFonts w:hint="eastAsia"/>
              </w:rPr>
              <w:t>效益指标</w:t>
            </w:r>
          </w:p>
        </w:tc>
        <w:tc>
          <w:tcPr>
            <w:tcW w:w="641" w:type="pct"/>
            <w:tcBorders>
              <w:top w:val="single" w:color="auto" w:sz="4" w:space="0"/>
              <w:left w:val="single" w:color="auto" w:sz="4" w:space="0"/>
              <w:bottom w:val="single" w:color="auto" w:sz="4" w:space="0"/>
              <w:right w:val="single" w:color="auto" w:sz="4" w:space="0"/>
            </w:tcBorders>
            <w:shd w:val="clear" w:color="auto" w:fill="BEBEBE" w:themeFill="background1" w:themeFillShade="BF"/>
            <w:vAlign w:val="center"/>
          </w:tcPr>
          <w:p>
            <w:pPr>
              <w:pStyle w:val="14"/>
            </w:pPr>
            <w:r>
              <w:rPr>
                <w:rFonts w:hint="eastAsia"/>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权重</w:t>
            </w:r>
          </w:p>
        </w:tc>
        <w:tc>
          <w:tcPr>
            <w:tcW w:w="1012"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10</w:t>
            </w:r>
          </w:p>
        </w:tc>
        <w:tc>
          <w:tcPr>
            <w:tcW w:w="1047"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30</w:t>
            </w:r>
          </w:p>
        </w:tc>
        <w:tc>
          <w:tcPr>
            <w:tcW w:w="724"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25</w:t>
            </w:r>
          </w:p>
        </w:tc>
        <w:tc>
          <w:tcPr>
            <w:tcW w:w="633"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35</w:t>
            </w:r>
          </w:p>
        </w:tc>
        <w:tc>
          <w:tcPr>
            <w:tcW w:w="641"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得分率</w:t>
            </w:r>
          </w:p>
        </w:tc>
        <w:tc>
          <w:tcPr>
            <w:tcW w:w="1012"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100%</w:t>
            </w:r>
          </w:p>
        </w:tc>
        <w:tc>
          <w:tcPr>
            <w:tcW w:w="1047"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96.67%</w:t>
            </w:r>
          </w:p>
        </w:tc>
        <w:tc>
          <w:tcPr>
            <w:tcW w:w="724" w:type="pct"/>
            <w:tcBorders>
              <w:top w:val="single" w:color="auto" w:sz="4" w:space="0"/>
              <w:left w:val="single" w:color="auto" w:sz="4" w:space="0"/>
              <w:bottom w:val="single" w:color="auto" w:sz="4" w:space="0"/>
              <w:right w:val="single" w:color="auto" w:sz="4" w:space="0"/>
            </w:tcBorders>
            <w:vAlign w:val="center"/>
          </w:tcPr>
          <w:p>
            <w:pPr>
              <w:pStyle w:val="14"/>
            </w:pPr>
            <w:r>
              <w:t>100%</w:t>
            </w:r>
          </w:p>
        </w:tc>
        <w:tc>
          <w:tcPr>
            <w:tcW w:w="633"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94.29%</w:t>
            </w:r>
          </w:p>
        </w:tc>
        <w:tc>
          <w:tcPr>
            <w:tcW w:w="641"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940"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得分</w:t>
            </w:r>
          </w:p>
        </w:tc>
        <w:tc>
          <w:tcPr>
            <w:tcW w:w="1012"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10</w:t>
            </w:r>
          </w:p>
        </w:tc>
        <w:tc>
          <w:tcPr>
            <w:tcW w:w="1047"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29</w:t>
            </w:r>
          </w:p>
        </w:tc>
        <w:tc>
          <w:tcPr>
            <w:tcW w:w="724"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25</w:t>
            </w:r>
          </w:p>
        </w:tc>
        <w:tc>
          <w:tcPr>
            <w:tcW w:w="633"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33</w:t>
            </w:r>
          </w:p>
        </w:tc>
        <w:tc>
          <w:tcPr>
            <w:tcW w:w="641" w:type="pct"/>
            <w:tcBorders>
              <w:top w:val="single" w:color="auto" w:sz="4" w:space="0"/>
              <w:left w:val="single" w:color="auto" w:sz="4" w:space="0"/>
              <w:bottom w:val="single" w:color="auto" w:sz="4" w:space="0"/>
              <w:right w:val="single" w:color="auto" w:sz="4" w:space="0"/>
            </w:tcBorders>
            <w:vAlign w:val="center"/>
          </w:tcPr>
          <w:p>
            <w:pPr>
              <w:pStyle w:val="14"/>
            </w:pPr>
            <w:r>
              <w:rPr>
                <w:rFonts w:hint="eastAsia"/>
              </w:rPr>
              <w:t>97</w:t>
            </w:r>
          </w:p>
        </w:tc>
      </w:tr>
    </w:tbl>
    <w:p>
      <w:pPr>
        <w:pStyle w:val="15"/>
      </w:pPr>
      <w:r>
        <w:t>表3-2 各项指标得分情况表</w:t>
      </w:r>
    </w:p>
    <w:tbl>
      <w:tblPr>
        <w:tblStyle w:val="11"/>
        <w:tblW w:w="4998" w:type="pct"/>
        <w:jc w:val="center"/>
        <w:tblLayout w:type="autofit"/>
        <w:tblCellMar>
          <w:top w:w="0" w:type="dxa"/>
          <w:left w:w="108" w:type="dxa"/>
          <w:bottom w:w="0" w:type="dxa"/>
          <w:right w:w="108" w:type="dxa"/>
        </w:tblCellMar>
      </w:tblPr>
      <w:tblGrid>
        <w:gridCol w:w="1113"/>
        <w:gridCol w:w="1527"/>
        <w:gridCol w:w="2340"/>
        <w:gridCol w:w="975"/>
        <w:gridCol w:w="1239"/>
        <w:gridCol w:w="656"/>
        <w:gridCol w:w="669"/>
      </w:tblGrid>
      <w:tr>
        <w:tblPrEx>
          <w:tblCellMar>
            <w:top w:w="0" w:type="dxa"/>
            <w:left w:w="108" w:type="dxa"/>
            <w:bottom w:w="0" w:type="dxa"/>
            <w:right w:w="108" w:type="dxa"/>
          </w:tblCellMar>
        </w:tblPrEx>
        <w:trPr>
          <w:trHeight w:val="567" w:hRule="atLeast"/>
          <w:tblHeader/>
          <w:jc w:val="center"/>
        </w:trPr>
        <w:tc>
          <w:tcPr>
            <w:tcW w:w="653"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pPr>
            <w:r>
              <w:rPr>
                <w:rFonts w:hint="eastAsia"/>
              </w:rPr>
              <w:t>一级指标</w:t>
            </w:r>
          </w:p>
        </w:tc>
        <w:tc>
          <w:tcPr>
            <w:tcW w:w="89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pPr>
            <w:r>
              <w:rPr>
                <w:rFonts w:hint="eastAsia"/>
              </w:rPr>
              <w:t>二级指标</w:t>
            </w:r>
          </w:p>
        </w:tc>
        <w:tc>
          <w:tcPr>
            <w:tcW w:w="137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pPr>
            <w:r>
              <w:rPr>
                <w:rFonts w:hint="eastAsia"/>
              </w:rPr>
              <w:t>三级指标</w:t>
            </w:r>
          </w:p>
        </w:tc>
        <w:tc>
          <w:tcPr>
            <w:tcW w:w="57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pPr>
            <w:r>
              <w:rPr>
                <w:rFonts w:hint="eastAsia"/>
              </w:rPr>
              <w:t>指标值</w:t>
            </w:r>
          </w:p>
        </w:tc>
        <w:tc>
          <w:tcPr>
            <w:tcW w:w="727"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pPr>
            <w:r>
              <w:rPr>
                <w:rFonts w:hint="eastAsia"/>
              </w:rPr>
              <w:t>实际完成值</w:t>
            </w:r>
          </w:p>
        </w:tc>
        <w:tc>
          <w:tcPr>
            <w:tcW w:w="385"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pPr>
            <w:r>
              <w:rPr>
                <w:rFonts w:hint="eastAsia"/>
              </w:rPr>
              <w:t>分值</w:t>
            </w:r>
          </w:p>
        </w:tc>
        <w:tc>
          <w:tcPr>
            <w:tcW w:w="392"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pStyle w:val="14"/>
            </w:pPr>
            <w:r>
              <w:rPr>
                <w:rFonts w:hint="eastAsia"/>
              </w:rPr>
              <w:t>得分</w:t>
            </w:r>
          </w:p>
        </w:tc>
      </w:tr>
      <w:tr>
        <w:tblPrEx>
          <w:tblCellMar>
            <w:top w:w="0" w:type="dxa"/>
            <w:left w:w="108" w:type="dxa"/>
            <w:bottom w:w="0" w:type="dxa"/>
            <w:right w:w="108" w:type="dxa"/>
          </w:tblCellMar>
        </w:tblPrEx>
        <w:trPr>
          <w:trHeight w:val="567" w:hRule="atLeast"/>
          <w:jc w:val="center"/>
        </w:trPr>
        <w:tc>
          <w:tcPr>
            <w:tcW w:w="653"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预算执行率</w:t>
            </w:r>
          </w:p>
        </w:tc>
        <w:tc>
          <w:tcPr>
            <w:tcW w:w="8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预算执行率</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预算执行率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10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10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10</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653"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投入管理指标</w:t>
            </w:r>
          </w:p>
        </w:tc>
        <w:tc>
          <w:tcPr>
            <w:tcW w:w="89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工作目标管理</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年度履职目标相关性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相关</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相关</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工作任务科学性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科学</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科学</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绩效指标合理性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合理</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基本合理</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1</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预算和财务管理</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预算编制完整性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完整</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完整</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专项资金细化率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预算调整率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lang w:val="en-US" w:eastAsia="zh-CN"/>
              </w:rPr>
              <w:t>0</w:t>
            </w:r>
            <w:r>
              <w:rPr>
                <w:rFonts w:hint="eastAsia"/>
              </w:rP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结转结余率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“三公经”控制率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政府采购执行率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≥95%</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决算真实性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真实</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真实</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资金使用合规性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合规</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合规</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管理制度健全性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健全</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健全</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预决算信息公幵性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公开</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公开</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资产管理规范性</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规范</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规范</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绩效管理</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绩效监控完成率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绩效自评完成率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部门绩效评价完成率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8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评价结果应用率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2</w:t>
            </w:r>
          </w:p>
        </w:tc>
      </w:tr>
      <w:tr>
        <w:tblPrEx>
          <w:tblCellMar>
            <w:top w:w="0" w:type="dxa"/>
            <w:left w:w="108" w:type="dxa"/>
            <w:bottom w:w="0" w:type="dxa"/>
            <w:right w:w="108" w:type="dxa"/>
          </w:tblCellMar>
        </w:tblPrEx>
        <w:trPr>
          <w:trHeight w:val="567" w:hRule="atLeast"/>
          <w:jc w:val="center"/>
        </w:trPr>
        <w:tc>
          <w:tcPr>
            <w:tcW w:w="653" w:type="pct"/>
            <w:vMerge w:val="restart"/>
            <w:tcBorders>
              <w:top w:val="single" w:color="000000" w:sz="4" w:space="0"/>
              <w:left w:val="single" w:color="000000" w:sz="4" w:space="0"/>
              <w:right w:val="single" w:color="000000" w:sz="4" w:space="0"/>
            </w:tcBorders>
            <w:shd w:val="clear" w:color="auto" w:fill="FFFFFF"/>
            <w:vAlign w:val="center"/>
          </w:tcPr>
          <w:p>
            <w:pPr>
              <w:pStyle w:val="14"/>
            </w:pPr>
            <w:r>
              <w:rPr>
                <w:rFonts w:hint="eastAsia"/>
              </w:rPr>
              <w:t>产出指标</w:t>
            </w:r>
          </w:p>
        </w:tc>
        <w:tc>
          <w:tcPr>
            <w:tcW w:w="896" w:type="pct"/>
            <w:vMerge w:val="restart"/>
            <w:tcBorders>
              <w:top w:val="single" w:color="000000" w:sz="4" w:space="0"/>
              <w:left w:val="single" w:color="000000" w:sz="4" w:space="0"/>
              <w:right w:val="single" w:color="000000" w:sz="4" w:space="0"/>
            </w:tcBorders>
            <w:shd w:val="clear" w:color="auto" w:fill="FFFFFF"/>
            <w:vAlign w:val="center"/>
          </w:tcPr>
          <w:p>
            <w:pPr>
              <w:pStyle w:val="14"/>
            </w:pPr>
            <w:r>
              <w:rPr>
                <w:rFonts w:hint="eastAsia"/>
              </w:rPr>
              <w:t>重点工作任务完成</w:t>
            </w: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重点工作1计划完成率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100</w:t>
            </w:r>
            <w:r>
              <w:t>%</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4</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4</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000000" w:sz="4" w:space="0"/>
              <w:right w:val="single" w:color="000000" w:sz="4" w:space="0"/>
            </w:tcBorders>
            <w:shd w:val="clear" w:color="auto" w:fill="FFFFFF"/>
            <w:vAlign w:val="center"/>
          </w:tcPr>
          <w:p>
            <w:pPr>
              <w:pStyle w:val="14"/>
            </w:pPr>
          </w:p>
        </w:tc>
        <w:tc>
          <w:tcPr>
            <w:tcW w:w="896" w:type="pct"/>
            <w:vMerge w:val="continue"/>
            <w:tcBorders>
              <w:left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重点工作2计划完成率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000000" w:sz="4" w:space="0"/>
              <w:right w:val="single" w:color="000000" w:sz="4" w:space="0"/>
            </w:tcBorders>
            <w:shd w:val="clear" w:color="auto" w:fill="FFFFFF"/>
            <w:vAlign w:val="center"/>
          </w:tcPr>
          <w:p>
            <w:pPr>
              <w:pStyle w:val="14"/>
            </w:pPr>
          </w:p>
        </w:tc>
        <w:tc>
          <w:tcPr>
            <w:tcW w:w="896" w:type="pct"/>
            <w:vMerge w:val="continue"/>
            <w:tcBorders>
              <w:left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重点工作3计划完成率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000000" w:sz="4" w:space="0"/>
              <w:right w:val="single" w:color="000000" w:sz="4" w:space="0"/>
            </w:tcBorders>
            <w:shd w:val="clear" w:color="auto" w:fill="FFFFFF"/>
            <w:vAlign w:val="center"/>
          </w:tcPr>
          <w:p>
            <w:pPr>
              <w:pStyle w:val="14"/>
            </w:pPr>
          </w:p>
        </w:tc>
        <w:tc>
          <w:tcPr>
            <w:tcW w:w="896" w:type="pct"/>
            <w:vMerge w:val="continue"/>
            <w:tcBorders>
              <w:left w:val="single" w:color="000000"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重点工作4计划完成率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000000" w:sz="4" w:space="0"/>
              <w:right w:val="single" w:color="000000" w:sz="4" w:space="0"/>
            </w:tcBorders>
            <w:shd w:val="clear" w:color="auto" w:fill="FFFFFF"/>
            <w:vAlign w:val="center"/>
          </w:tcPr>
          <w:p>
            <w:pPr>
              <w:pStyle w:val="14"/>
            </w:pPr>
          </w:p>
        </w:tc>
        <w:tc>
          <w:tcPr>
            <w:tcW w:w="896" w:type="pct"/>
            <w:vMerge w:val="continue"/>
            <w:tcBorders>
              <w:left w:val="single" w:color="000000" w:sz="4" w:space="0"/>
              <w:bottom w:val="single" w:color="auto" w:sz="4" w:space="0"/>
              <w:right w:val="single" w:color="000000" w:sz="4" w:space="0"/>
            </w:tcBorders>
            <w:shd w:val="clear" w:color="auto" w:fill="FFFFFF"/>
            <w:vAlign w:val="center"/>
          </w:tcPr>
          <w:p>
            <w:pPr>
              <w:pStyle w:val="14"/>
            </w:pPr>
          </w:p>
        </w:tc>
        <w:tc>
          <w:tcPr>
            <w:tcW w:w="13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重点工作5计划完成率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000000" w:sz="4" w:space="0"/>
              <w:right w:val="single" w:color="auto" w:sz="4" w:space="0"/>
            </w:tcBorders>
            <w:shd w:val="clear" w:color="auto" w:fill="FFFFFF"/>
            <w:vAlign w:val="center"/>
          </w:tcPr>
          <w:p>
            <w:pPr>
              <w:pStyle w:val="14"/>
            </w:pPr>
          </w:p>
        </w:tc>
        <w:tc>
          <w:tcPr>
            <w:tcW w:w="896"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履职目标实现</w:t>
            </w:r>
          </w:p>
        </w:tc>
        <w:tc>
          <w:tcPr>
            <w:tcW w:w="1372" w:type="pct"/>
            <w:tcBorders>
              <w:top w:val="single" w:color="000000" w:sz="4" w:space="0"/>
              <w:left w:val="single" w:color="auto" w:sz="4" w:space="0"/>
              <w:bottom w:val="single" w:color="000000" w:sz="4" w:space="0"/>
              <w:right w:val="single" w:color="000000" w:sz="4" w:space="0"/>
            </w:tcBorders>
            <w:shd w:val="clear" w:color="auto" w:fill="FFFFFF"/>
            <w:vAlign w:val="center"/>
          </w:tcPr>
          <w:p>
            <w:pPr>
              <w:pStyle w:val="14"/>
            </w:pPr>
            <w:r>
              <w:rPr>
                <w:rFonts w:hint="eastAsia"/>
              </w:rPr>
              <w:t>年度工作目标1实现率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000000" w:sz="4" w:space="0"/>
              <w:right w:val="single" w:color="auto" w:sz="4" w:space="0"/>
            </w:tcBorders>
            <w:shd w:val="clear" w:color="auto" w:fill="FFFFFF"/>
            <w:vAlign w:val="center"/>
          </w:tcPr>
          <w:p>
            <w:pPr>
              <w:pStyle w:val="14"/>
            </w:pPr>
          </w:p>
        </w:tc>
        <w:tc>
          <w:tcPr>
            <w:tcW w:w="896"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1372" w:type="pct"/>
            <w:tcBorders>
              <w:top w:val="single" w:color="000000" w:sz="4" w:space="0"/>
              <w:left w:val="single" w:color="auto" w:sz="4" w:space="0"/>
              <w:bottom w:val="single" w:color="000000" w:sz="4" w:space="0"/>
              <w:right w:val="single" w:color="000000" w:sz="4" w:space="0"/>
            </w:tcBorders>
            <w:shd w:val="clear" w:color="auto" w:fill="FFFFFF"/>
            <w:vAlign w:val="center"/>
          </w:tcPr>
          <w:p>
            <w:pPr>
              <w:pStyle w:val="14"/>
            </w:pPr>
            <w:r>
              <w:rPr>
                <w:rFonts w:hint="eastAsia"/>
              </w:rPr>
              <w:t>年度工作目标2实现率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000000" w:sz="4" w:space="0"/>
              <w:right w:val="single" w:color="auto" w:sz="4" w:space="0"/>
            </w:tcBorders>
            <w:shd w:val="clear" w:color="auto" w:fill="FFFFFF"/>
            <w:vAlign w:val="center"/>
          </w:tcPr>
          <w:p>
            <w:pPr>
              <w:pStyle w:val="14"/>
            </w:pPr>
          </w:p>
        </w:tc>
        <w:tc>
          <w:tcPr>
            <w:tcW w:w="896"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1372" w:type="pct"/>
            <w:tcBorders>
              <w:top w:val="single" w:color="000000" w:sz="4" w:space="0"/>
              <w:left w:val="single" w:color="auto" w:sz="4" w:space="0"/>
              <w:bottom w:val="single" w:color="000000" w:sz="4" w:space="0"/>
              <w:right w:val="single" w:color="000000" w:sz="4" w:space="0"/>
            </w:tcBorders>
            <w:shd w:val="clear" w:color="auto" w:fill="FFFFFF"/>
            <w:vAlign w:val="center"/>
          </w:tcPr>
          <w:p>
            <w:pPr>
              <w:pStyle w:val="14"/>
            </w:pPr>
            <w:r>
              <w:rPr>
                <w:rFonts w:hint="eastAsia"/>
              </w:rPr>
              <w:t>年度工作目标3实现率</w:t>
            </w:r>
          </w:p>
        </w:tc>
        <w:tc>
          <w:tcPr>
            <w:tcW w:w="57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727"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t>100%</w:t>
            </w:r>
          </w:p>
        </w:tc>
        <w:tc>
          <w:tcPr>
            <w:tcW w:w="38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c>
          <w:tcPr>
            <w:tcW w:w="39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4"/>
            </w:pPr>
            <w:r>
              <w:rPr>
                <w:rFonts w:hint="eastAsia"/>
              </w:rPr>
              <w:t>3</w:t>
            </w:r>
          </w:p>
        </w:tc>
      </w:tr>
      <w:tr>
        <w:tblPrEx>
          <w:tblCellMar>
            <w:top w:w="0" w:type="dxa"/>
            <w:left w:w="108" w:type="dxa"/>
            <w:bottom w:w="0" w:type="dxa"/>
            <w:right w:w="108" w:type="dxa"/>
          </w:tblCellMar>
        </w:tblPrEx>
        <w:trPr>
          <w:trHeight w:val="567" w:hRule="atLeast"/>
          <w:jc w:val="center"/>
        </w:trPr>
        <w:tc>
          <w:tcPr>
            <w:tcW w:w="653"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效益指标</w:t>
            </w:r>
          </w:p>
        </w:tc>
        <w:tc>
          <w:tcPr>
            <w:tcW w:w="896" w:type="pct"/>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履职效益</w:t>
            </w:r>
          </w:p>
        </w:tc>
        <w:tc>
          <w:tcPr>
            <w:tcW w:w="13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保</w:t>
            </w:r>
            <w:r>
              <w:rPr>
                <w:rFonts w:hint="eastAsia"/>
                <w:color w:val="3333FF"/>
              </w:rPr>
              <w:t>证重大政策落实</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保证</w:t>
            </w:r>
          </w:p>
        </w:tc>
        <w:tc>
          <w:tcPr>
            <w:tcW w:w="72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保证</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8</w:t>
            </w:r>
          </w:p>
        </w:tc>
      </w:tr>
      <w:tr>
        <w:tblPrEx>
          <w:tblCellMar>
            <w:top w:w="0" w:type="dxa"/>
            <w:left w:w="108" w:type="dxa"/>
            <w:bottom w:w="0" w:type="dxa"/>
            <w:right w:w="108" w:type="dxa"/>
          </w:tblCellMar>
        </w:tblPrEx>
        <w:trPr>
          <w:trHeight w:val="567" w:hRule="atLeast"/>
          <w:jc w:val="center"/>
        </w:trPr>
        <w:tc>
          <w:tcPr>
            <w:tcW w:w="653" w:type="pct"/>
            <w:vMerge w:val="continue"/>
            <w:tcBorders>
              <w:left w:val="single" w:color="auto" w:sz="4" w:space="0"/>
              <w:right w:val="single" w:color="auto" w:sz="4" w:space="0"/>
            </w:tcBorders>
            <w:shd w:val="clear" w:color="auto" w:fill="FFFFFF"/>
            <w:vAlign w:val="center"/>
          </w:tcPr>
          <w:p>
            <w:pPr>
              <w:pStyle w:val="14"/>
            </w:pPr>
          </w:p>
        </w:tc>
        <w:tc>
          <w:tcPr>
            <w:tcW w:w="896"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13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rPr>
                <w:color w:val="3333FF"/>
              </w:rPr>
            </w:pPr>
            <w:r>
              <w:rPr>
                <w:rFonts w:hint="eastAsia"/>
                <w:color w:val="3333FF"/>
              </w:rPr>
              <w:t>提</w:t>
            </w:r>
            <w:r>
              <w:rPr>
                <w:rFonts w:hint="eastAsia"/>
              </w:rPr>
              <w:t>升</w:t>
            </w:r>
            <w:r>
              <w:rPr>
                <w:rFonts w:hint="eastAsia"/>
                <w:color w:val="3333FF"/>
              </w:rPr>
              <w:t>营商环境</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提升</w:t>
            </w:r>
          </w:p>
        </w:tc>
        <w:tc>
          <w:tcPr>
            <w:tcW w:w="72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提升</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10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10</w:t>
            </w:r>
          </w:p>
        </w:tc>
      </w:tr>
      <w:tr>
        <w:tblPrEx>
          <w:tblCellMar>
            <w:top w:w="0" w:type="dxa"/>
            <w:left w:w="108" w:type="dxa"/>
            <w:bottom w:w="0" w:type="dxa"/>
            <w:right w:w="108" w:type="dxa"/>
          </w:tblCellMar>
        </w:tblPrEx>
        <w:trPr>
          <w:trHeight w:val="567" w:hRule="atLeast"/>
          <w:jc w:val="center"/>
        </w:trPr>
        <w:tc>
          <w:tcPr>
            <w:tcW w:w="653" w:type="pct"/>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896"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满意度</w:t>
            </w:r>
          </w:p>
        </w:tc>
        <w:tc>
          <w:tcPr>
            <w:tcW w:w="13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群众满意度</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w:t>
            </w:r>
            <w:r>
              <w:t>90%</w:t>
            </w:r>
          </w:p>
        </w:tc>
        <w:tc>
          <w:tcPr>
            <w:tcW w:w="72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t>9</w:t>
            </w:r>
            <w:r>
              <w:rPr>
                <w:rFonts w:hint="eastAsia"/>
              </w:rPr>
              <w:t>6</w:t>
            </w:r>
            <w:r>
              <w:t>.00%</w:t>
            </w: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t>15</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t>15</w:t>
            </w:r>
          </w:p>
        </w:tc>
      </w:tr>
      <w:tr>
        <w:tblPrEx>
          <w:tblCellMar>
            <w:top w:w="0" w:type="dxa"/>
            <w:left w:w="108" w:type="dxa"/>
            <w:bottom w:w="0" w:type="dxa"/>
            <w:right w:w="108" w:type="dxa"/>
          </w:tblCellMar>
        </w:tblPrEx>
        <w:trPr>
          <w:trHeight w:val="567" w:hRule="atLeast"/>
          <w:jc w:val="center"/>
        </w:trPr>
        <w:tc>
          <w:tcPr>
            <w:tcW w:w="2922" w:type="pct"/>
            <w:gridSpan w:val="3"/>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合计</w:t>
            </w:r>
          </w:p>
        </w:tc>
        <w:tc>
          <w:tcPr>
            <w:tcW w:w="57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727"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p>
        </w:tc>
        <w:tc>
          <w:tcPr>
            <w:tcW w:w="385"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100</w:t>
            </w:r>
          </w:p>
        </w:tc>
        <w:tc>
          <w:tcPr>
            <w:tcW w:w="392" w:type="pct"/>
            <w:tcBorders>
              <w:top w:val="single" w:color="auto" w:sz="4" w:space="0"/>
              <w:left w:val="single" w:color="auto" w:sz="4" w:space="0"/>
              <w:bottom w:val="single" w:color="auto" w:sz="4" w:space="0"/>
              <w:right w:val="single" w:color="auto" w:sz="4" w:space="0"/>
            </w:tcBorders>
            <w:shd w:val="clear" w:color="auto" w:fill="FFFFFF"/>
            <w:vAlign w:val="center"/>
          </w:tcPr>
          <w:p>
            <w:pPr>
              <w:pStyle w:val="14"/>
            </w:pPr>
            <w:r>
              <w:rPr>
                <w:rFonts w:hint="eastAsia"/>
              </w:rPr>
              <w:t>97</w:t>
            </w:r>
          </w:p>
        </w:tc>
      </w:tr>
    </w:tbl>
    <w:p>
      <w:pPr>
        <w:pStyle w:val="3"/>
      </w:pPr>
      <w:r>
        <w:rPr>
          <w:rFonts w:hint="eastAsia"/>
        </w:rPr>
        <w:br w:type="page"/>
      </w:r>
      <w:bookmarkStart w:id="22" w:name="_Toc18202"/>
      <w:r>
        <w:rPr>
          <w:rFonts w:hint="eastAsia"/>
        </w:rPr>
        <w:t>四、</w:t>
      </w:r>
      <w:r>
        <w:t>绩效目标实现情况分析</w:t>
      </w:r>
      <w:bookmarkEnd w:id="22"/>
    </w:p>
    <w:p>
      <w:pPr>
        <w:pStyle w:val="4"/>
      </w:pPr>
      <w:bookmarkStart w:id="23" w:name="_Toc10468"/>
      <w:r>
        <w:rPr>
          <w:rFonts w:hint="eastAsia"/>
        </w:rPr>
        <w:t>（</w:t>
      </w:r>
      <w:r>
        <w:t>一</w:t>
      </w:r>
      <w:r>
        <w:rPr>
          <w:rFonts w:hint="eastAsia"/>
        </w:rPr>
        <w:t>）</w:t>
      </w:r>
      <w:r>
        <w:t>部门资金情况分析</w:t>
      </w:r>
      <w:bookmarkEnd w:id="23"/>
    </w:p>
    <w:p>
      <w:pPr>
        <w:pStyle w:val="5"/>
        <w:ind w:firstLine="643"/>
      </w:pPr>
      <w:r>
        <w:rPr>
          <w:rFonts w:hint="eastAsia"/>
        </w:rPr>
        <w:t>1.资金到位情况与资金执行情况</w:t>
      </w:r>
    </w:p>
    <w:p>
      <w:pPr>
        <w:pStyle w:val="18"/>
        <w:ind w:firstLine="640"/>
        <w:jc w:val="both"/>
        <w:rPr>
          <w:rFonts w:hint="default"/>
        </w:rPr>
      </w:pPr>
      <w:r>
        <w:rPr>
          <w:color w:val="auto"/>
          <w:highlight w:val="none"/>
        </w:rPr>
        <w:t>我单位2021年年初预算资金3752.40万元；经年中调整，增加预算资金0万元，调减预算0万元；全年预算资金总额3752.40万元。全年实际执行数为3752.40万元，预算执行率为100%。</w:t>
      </w:r>
      <w:r>
        <w:rPr>
          <w:color w:val="auto"/>
        </w:rPr>
        <w:t>具体情况详</w:t>
      </w:r>
      <w:r>
        <w:t>见表4-1。</w:t>
      </w:r>
    </w:p>
    <w:p>
      <w:pPr>
        <w:pStyle w:val="18"/>
        <w:ind w:firstLine="640"/>
        <w:rPr>
          <w:rFonts w:hint="default"/>
        </w:rPr>
        <w:sectPr>
          <w:footerReference r:id="rId12" w:type="default"/>
          <w:pgSz w:w="11906" w:h="16838"/>
          <w:pgMar w:top="1440" w:right="1800" w:bottom="1440" w:left="1800" w:header="851" w:footer="737" w:gutter="0"/>
          <w:pgNumType w:start="1"/>
          <w:cols w:space="425" w:num="1"/>
          <w:docGrid w:type="lines" w:linePitch="312" w:charSpace="0"/>
        </w:sectPr>
      </w:pPr>
    </w:p>
    <w:p>
      <w:pPr>
        <w:pStyle w:val="15"/>
      </w:pPr>
      <w:r>
        <w:t>表</w:t>
      </w:r>
      <w:r>
        <w:rPr>
          <w:rFonts w:hint="eastAsia"/>
        </w:rPr>
        <w:t>4</w:t>
      </w:r>
      <w:r>
        <w:t>-</w:t>
      </w:r>
      <w:r>
        <w:rPr>
          <w:rFonts w:hint="eastAsia"/>
        </w:rPr>
        <w:t>1部门资金情况分析表（决算表）</w:t>
      </w:r>
    </w:p>
    <w:tbl>
      <w:tblPr>
        <w:tblStyle w:val="11"/>
        <w:tblW w:w="5000" w:type="pct"/>
        <w:jc w:val="center"/>
        <w:tblLayout w:type="fixed"/>
        <w:tblCellMar>
          <w:top w:w="0" w:type="dxa"/>
          <w:left w:w="108" w:type="dxa"/>
          <w:bottom w:w="0" w:type="dxa"/>
          <w:right w:w="108" w:type="dxa"/>
        </w:tblCellMar>
      </w:tblPr>
      <w:tblGrid>
        <w:gridCol w:w="3935"/>
        <w:gridCol w:w="1108"/>
        <w:gridCol w:w="3810"/>
        <w:gridCol w:w="995"/>
        <w:gridCol w:w="3161"/>
        <w:gridCol w:w="1165"/>
      </w:tblGrid>
      <w:tr>
        <w:tblPrEx>
          <w:tblCellMar>
            <w:top w:w="0" w:type="dxa"/>
            <w:left w:w="108" w:type="dxa"/>
            <w:bottom w:w="0" w:type="dxa"/>
            <w:right w:w="108" w:type="dxa"/>
          </w:tblCellMar>
        </w:tblPrEx>
        <w:trPr>
          <w:trHeight w:val="404" w:hRule="atLeast"/>
          <w:jc w:val="center"/>
        </w:trPr>
        <w:tc>
          <w:tcPr>
            <w:tcW w:w="177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收入</w:t>
            </w:r>
          </w:p>
        </w:tc>
        <w:tc>
          <w:tcPr>
            <w:tcW w:w="322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支出</w:t>
            </w:r>
          </w:p>
        </w:tc>
      </w:tr>
      <w:tr>
        <w:tblPrEx>
          <w:tblCellMar>
            <w:top w:w="0" w:type="dxa"/>
            <w:left w:w="108" w:type="dxa"/>
            <w:bottom w:w="0" w:type="dxa"/>
            <w:right w:w="108" w:type="dxa"/>
          </w:tblCellMar>
        </w:tblPrEx>
        <w:trPr>
          <w:trHeight w:val="27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项目</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金额</w:t>
            </w: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功能科目</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金额</w:t>
            </w: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经济科目</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金额</w:t>
            </w:r>
          </w:p>
        </w:tc>
      </w:tr>
      <w:tr>
        <w:tblPrEx>
          <w:tblCellMar>
            <w:top w:w="0" w:type="dxa"/>
            <w:left w:w="108" w:type="dxa"/>
            <w:bottom w:w="0" w:type="dxa"/>
            <w:right w:w="108" w:type="dxa"/>
          </w:tblCellMar>
        </w:tblPrEx>
        <w:trPr>
          <w:trHeight w:val="503"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一、一般公共预算财政拨款收入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t>3752</w:t>
            </w:r>
            <w:r>
              <w:rPr>
                <w:rFonts w:hint="eastAsia"/>
              </w:rPr>
              <w:t>.40</w:t>
            </w: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一、一般公共服务支出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t>3689</w:t>
            </w:r>
            <w:r>
              <w:rPr>
                <w:rFonts w:hint="eastAsia"/>
              </w:rPr>
              <w:t>.</w:t>
            </w:r>
            <w:r>
              <w:t>1</w:t>
            </w:r>
            <w:r>
              <w:rPr>
                <w:rFonts w:hint="eastAsia"/>
              </w:rPr>
              <w:t>4</w:t>
            </w: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一、基本支出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t>3752</w:t>
            </w:r>
            <w:r>
              <w:rPr>
                <w:rFonts w:hint="eastAsia"/>
              </w:rPr>
              <w:t>.40</w:t>
            </w:r>
          </w:p>
        </w:tc>
      </w:tr>
      <w:tr>
        <w:tblPrEx>
          <w:tblCellMar>
            <w:top w:w="0" w:type="dxa"/>
            <w:left w:w="108" w:type="dxa"/>
            <w:bottom w:w="0" w:type="dxa"/>
            <w:right w:w="108" w:type="dxa"/>
          </w:tblCellMar>
        </w:tblPrEx>
        <w:trPr>
          <w:trHeight w:val="323"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二、政府性基金预算财政拨款收入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二、外交支出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 xml:space="preserve">      人员经费</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749.31</w:t>
            </w:r>
          </w:p>
        </w:tc>
      </w:tr>
      <w:tr>
        <w:tblPrEx>
          <w:tblCellMar>
            <w:top w:w="0" w:type="dxa"/>
            <w:left w:w="108" w:type="dxa"/>
            <w:bottom w:w="0" w:type="dxa"/>
            <w:right w:w="108" w:type="dxa"/>
          </w:tblCellMar>
        </w:tblPrEx>
        <w:trPr>
          <w:trHeight w:val="9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三、国有资本经营预算财政拨款收入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三、国防支出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 xml:space="preserve">      公用经费</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3003.09</w:t>
            </w:r>
          </w:p>
        </w:tc>
      </w:tr>
      <w:tr>
        <w:tblPrEx>
          <w:tblCellMar>
            <w:top w:w="0" w:type="dxa"/>
            <w:left w:w="108" w:type="dxa"/>
            <w:bottom w:w="0" w:type="dxa"/>
            <w:right w:w="108" w:type="dxa"/>
          </w:tblCellMar>
        </w:tblPrEx>
        <w:trPr>
          <w:trHeight w:val="27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四、上级补助收入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四、公共安全支出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二、项目支出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27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五、事业收入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五、教育支出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 xml:space="preserve">    其中：基本建设类项目</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27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六、经营收入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六、科学技术支出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三、上缴上级支出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27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七、附属单位上缴收入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七、文化旅游体育与传媒支出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四、经营支出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27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八、其他收入</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八、社会保障和就业支出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50.96</w:t>
            </w: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五、对附属单位补助支出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九、卫生健康支出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12.30</w:t>
            </w: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十、节能环保支出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十一、城乡社区支出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经济分类支出合计</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3752.40</w:t>
            </w: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十二、农林水支出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一、工资福利支出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691.28</w:t>
            </w: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十三、交通运输支出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二、商品和服务支出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2795.02</w:t>
            </w: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十四、资源勘探工业信息等支出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三、对个人和家庭的补助</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58.03</w:t>
            </w: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十五、商业服务业等支出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四、债务利息及费用支出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十六、金融支出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五、资本性支出（基本建设）</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十七、援助其他地区支出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六、资本性支出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208.07</w:t>
            </w: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十八、自然资源海洋气象等支出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七、对企业补助（基本建设）</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十九、住房保障支出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八、对企业补助</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二十、粮油物资储备支出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九、对社会保障基金补助</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二十一、国有资本经营预算支出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十、其他支出</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二十二、灾害防治及应急管理支出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二十三、其他支出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二十四、债务还本支出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二十五、债务付息支出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15"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3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二十六、抗疫特别国债安排的支出</w:t>
            </w:r>
          </w:p>
        </w:tc>
        <w:tc>
          <w:tcPr>
            <w:tcW w:w="3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11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0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本年收入合计</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3752.40</w:t>
            </w:r>
          </w:p>
        </w:tc>
        <w:tc>
          <w:tcPr>
            <w:tcW w:w="281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本年支出合计</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3752.40</w:t>
            </w:r>
          </w:p>
        </w:tc>
      </w:tr>
      <w:tr>
        <w:tblPrEx>
          <w:tblCellMar>
            <w:top w:w="0" w:type="dxa"/>
            <w:left w:w="108" w:type="dxa"/>
            <w:bottom w:w="0" w:type="dxa"/>
            <w:right w:w="108" w:type="dxa"/>
          </w:tblCellMar>
        </w:tblPrEx>
        <w:trPr>
          <w:trHeight w:val="30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rPr>
                <w:highlight w:val="none"/>
              </w:rPr>
            </w:pPr>
            <w:r>
              <w:rPr>
                <w:rFonts w:hint="eastAsia"/>
                <w:highlight w:val="none"/>
              </w:rPr>
              <w:t>使用非财政拨款结余</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rPr>
                <w:highlight w:val="none"/>
              </w:rPr>
            </w:pPr>
          </w:p>
        </w:tc>
        <w:tc>
          <w:tcPr>
            <w:tcW w:w="281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rPr>
                <w:highlight w:val="none"/>
              </w:rPr>
            </w:pPr>
            <w:r>
              <w:rPr>
                <w:rFonts w:hint="eastAsia"/>
                <w:highlight w:val="none"/>
              </w:rPr>
              <w:t>结余分配</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0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rPr>
                <w:highlight w:val="none"/>
              </w:rPr>
            </w:pPr>
            <w:r>
              <w:rPr>
                <w:rFonts w:hint="eastAsia"/>
                <w:highlight w:val="none"/>
              </w:rPr>
              <w:t>年初结转和结余</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rPr>
                <w:highlight w:val="none"/>
              </w:rPr>
            </w:pPr>
          </w:p>
        </w:tc>
        <w:tc>
          <w:tcPr>
            <w:tcW w:w="281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rPr>
                <w:highlight w:val="none"/>
              </w:rPr>
            </w:pPr>
            <w:r>
              <w:rPr>
                <w:rFonts w:hint="eastAsia"/>
                <w:highlight w:val="none"/>
              </w:rPr>
              <w:t>年末结转和结余</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p>
        </w:tc>
      </w:tr>
      <w:tr>
        <w:tblPrEx>
          <w:tblCellMar>
            <w:top w:w="0" w:type="dxa"/>
            <w:left w:w="108" w:type="dxa"/>
            <w:bottom w:w="0" w:type="dxa"/>
            <w:right w:w="108" w:type="dxa"/>
          </w:tblCellMar>
        </w:tblPrEx>
        <w:trPr>
          <w:trHeight w:val="300" w:hRule="atLeast"/>
          <w:jc w:val="center"/>
        </w:trPr>
        <w:tc>
          <w:tcPr>
            <w:tcW w:w="1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总计：</w:t>
            </w: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3752.40</w:t>
            </w:r>
          </w:p>
        </w:tc>
        <w:tc>
          <w:tcPr>
            <w:tcW w:w="281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总计：</w:t>
            </w:r>
          </w:p>
        </w:tc>
        <w:tc>
          <w:tcPr>
            <w:tcW w:w="41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4"/>
            </w:pPr>
            <w:r>
              <w:rPr>
                <w:rFonts w:hint="eastAsia"/>
              </w:rPr>
              <w:t>3752.40</w:t>
            </w:r>
          </w:p>
        </w:tc>
      </w:tr>
    </w:tbl>
    <w:p>
      <w:pPr>
        <w:pStyle w:val="18"/>
        <w:ind w:firstLine="640"/>
        <w:rPr>
          <w:rFonts w:hint="default"/>
        </w:rPr>
      </w:pPr>
    </w:p>
    <w:p>
      <w:pPr>
        <w:pStyle w:val="18"/>
        <w:ind w:firstLine="640"/>
        <w:rPr>
          <w:rFonts w:hint="default"/>
        </w:rPr>
        <w:sectPr>
          <w:pgSz w:w="16838" w:h="11906" w:orient="landscape"/>
          <w:pgMar w:top="1800" w:right="1440" w:bottom="1800" w:left="1440" w:header="851" w:footer="992" w:gutter="0"/>
          <w:cols w:space="425" w:num="1"/>
          <w:docGrid w:type="lines" w:linePitch="312" w:charSpace="0"/>
        </w:sectPr>
      </w:pPr>
    </w:p>
    <w:p>
      <w:pPr>
        <w:pStyle w:val="5"/>
        <w:ind w:firstLine="643"/>
      </w:pPr>
      <w:r>
        <w:t>2.资金管理情况</w:t>
      </w:r>
    </w:p>
    <w:p>
      <w:pPr>
        <w:pStyle w:val="18"/>
        <w:ind w:firstLine="640"/>
        <w:rPr>
          <w:rFonts w:hint="default"/>
        </w:rPr>
      </w:pPr>
      <w:r>
        <w:t>我单位参照相关国家法律法规，在《内部控制基本制度》中制定了财务管理、资产管理等关管理办法，且针对专项资金制定了《专项资金管理办法》，该制度符合国家财经法规和财务管理制度规定以及有关专项资金管理办法的规定。针对主要经费的管理，明确了相应原则和要求、开支范围、程序、办法及标准、审批权限等，上述制度规定基本得到执行。</w:t>
      </w:r>
    </w:p>
    <w:p>
      <w:pPr>
        <w:pStyle w:val="4"/>
      </w:pPr>
      <w:bookmarkStart w:id="24" w:name="_Toc3607"/>
      <w:r>
        <w:rPr>
          <w:rFonts w:hint="eastAsia"/>
        </w:rPr>
        <w:t>（</w:t>
      </w:r>
      <w:r>
        <w:t>二</w:t>
      </w:r>
      <w:r>
        <w:rPr>
          <w:rFonts w:hint="eastAsia"/>
        </w:rPr>
        <w:t>）</w:t>
      </w:r>
      <w:r>
        <w:t>项目绩效指标完成情况分析</w:t>
      </w:r>
      <w:bookmarkEnd w:id="24"/>
    </w:p>
    <w:p>
      <w:pPr>
        <w:pStyle w:val="5"/>
        <w:ind w:firstLine="643"/>
      </w:pPr>
      <w:r>
        <w:t>1.</w:t>
      </w:r>
      <w:r>
        <w:rPr>
          <w:rFonts w:hint="eastAsia"/>
        </w:rPr>
        <w:t>投</w:t>
      </w:r>
      <w:r>
        <w:t>入管理指标完成情况分析</w:t>
      </w:r>
    </w:p>
    <w:p>
      <w:pPr>
        <w:pStyle w:val="18"/>
        <w:ind w:firstLine="640"/>
        <w:rPr>
          <w:rFonts w:hint="default"/>
        </w:rPr>
      </w:pPr>
      <w:r>
        <w:t>（1）工作目标管理</w:t>
      </w:r>
    </w:p>
    <w:p>
      <w:pPr>
        <w:pStyle w:val="18"/>
        <w:ind w:firstLine="640"/>
        <w:rPr>
          <w:rFonts w:hint="default"/>
        </w:rPr>
      </w:pPr>
      <w:r>
        <w:t>①年度履职目标相关性，指标2分，得2分。</w:t>
      </w:r>
    </w:p>
    <w:p>
      <w:pPr>
        <w:pStyle w:val="18"/>
        <w:ind w:firstLine="640"/>
        <w:rPr>
          <w:rFonts w:hint="default"/>
        </w:rPr>
      </w:pPr>
      <w:r>
        <w:t>我单位结合部门年初工作要点，制定了年度目标。年度目标旨在为贯彻习近平总书记关于加强纪检监察干部队伍建设重要论述，落实省委、市委、县委“能力作风建设年”活动安排部署，持续深化“学党史、悟思想、强担当、重执行、树形象”自身建设提升行动，推动纪检监察机关规范化、法治化、正规化建设，提高一体推进“三不腐”能力和水平，助力实现“两个确保”、实施“十大战略”三年行动计划；确保年度目标与部门职责、工作规划和重点工作相关；确定的预算项目合理，与工作目标密切相关；工作任务和项目预算安排合理。</w:t>
      </w:r>
    </w:p>
    <w:p>
      <w:pPr>
        <w:pStyle w:val="18"/>
        <w:ind w:firstLine="640"/>
        <w:rPr>
          <w:rFonts w:hint="default"/>
        </w:rPr>
      </w:pPr>
      <w:r>
        <w:t>②工作任务科学性，指标2分，得2分。</w:t>
      </w:r>
    </w:p>
    <w:p>
      <w:pPr>
        <w:pStyle w:val="18"/>
        <w:ind w:firstLine="640"/>
        <w:rPr>
          <w:rFonts w:hint="default"/>
        </w:rPr>
      </w:pPr>
      <w:r>
        <w:t>我单位根据相关文件要求，制定了5项主要工作任务，有明确的绩效目标，工作任务对应的预算项目有明确的绩效目标，绩效目标与部门职责目标、工作任务目标一致，能体现预算项目的产出和效果。</w:t>
      </w:r>
    </w:p>
    <w:p>
      <w:pPr>
        <w:pStyle w:val="18"/>
        <w:ind w:firstLine="640"/>
        <w:rPr>
          <w:rFonts w:hint="default"/>
        </w:rPr>
      </w:pPr>
      <w:r>
        <w:t>③绩效指标合理性，指标2分，得1分。</w:t>
      </w:r>
    </w:p>
    <w:p>
      <w:pPr>
        <w:pStyle w:val="18"/>
        <w:ind w:firstLine="640"/>
        <w:rPr>
          <w:rFonts w:hint="default"/>
        </w:rPr>
      </w:pPr>
      <w:r>
        <w:t>（2）预算和财务管理</w:t>
      </w:r>
    </w:p>
    <w:p>
      <w:pPr>
        <w:pStyle w:val="18"/>
        <w:ind w:firstLine="640"/>
        <w:rPr>
          <w:rFonts w:hint="default"/>
        </w:rPr>
      </w:pPr>
      <w:r>
        <w:t>①预算编制完整性，指标2分，得2分。</w:t>
      </w:r>
    </w:p>
    <w:p>
      <w:pPr>
        <w:pStyle w:val="18"/>
        <w:ind w:firstLine="640"/>
        <w:rPr>
          <w:rFonts w:hint="default"/>
        </w:rPr>
      </w:pPr>
      <w:r>
        <w:t>我单位2021年预算编制按照历史金额作为编制依据，部门所有收入全部纳入部门预算，部门支出预算是统筹各类资金来源，全部纳入部门预算管理，预算编制明细到各类项，预算编制完整。</w:t>
      </w:r>
    </w:p>
    <w:p>
      <w:pPr>
        <w:pStyle w:val="18"/>
        <w:ind w:firstLine="640"/>
        <w:rPr>
          <w:rFonts w:hint="default"/>
        </w:rPr>
      </w:pPr>
      <w:r>
        <w:t>②专项资金细化率，指标2分，得2分。</w:t>
      </w:r>
    </w:p>
    <w:p>
      <w:pPr>
        <w:pStyle w:val="18"/>
        <w:ind w:firstLine="640"/>
        <w:rPr>
          <w:rFonts w:hint="default"/>
        </w:rPr>
      </w:pPr>
      <w:r>
        <w:t>我单位2021年的专项资金均已细化至各三级项目，专项资金细化率为100%。</w:t>
      </w:r>
    </w:p>
    <w:p>
      <w:pPr>
        <w:pStyle w:val="18"/>
        <w:ind w:firstLine="640"/>
        <w:rPr>
          <w:rFonts w:hint="default"/>
        </w:rPr>
      </w:pPr>
      <w:r>
        <w:t>③预算调整率，指标2分，得2分。</w:t>
      </w:r>
    </w:p>
    <w:p>
      <w:pPr>
        <w:pStyle w:val="18"/>
        <w:ind w:firstLine="640"/>
        <w:rPr>
          <w:rFonts w:hint="default"/>
          <w:highlight w:val="yellow"/>
        </w:rPr>
      </w:pPr>
      <w:r>
        <w:t>2021年我单位年初预算3752.40万元，全年总预算3752.40万元，增加金额0万元。预算调整率0%。</w:t>
      </w:r>
    </w:p>
    <w:p>
      <w:pPr>
        <w:pStyle w:val="18"/>
        <w:ind w:firstLine="640"/>
        <w:rPr>
          <w:rFonts w:hint="default"/>
        </w:rPr>
      </w:pPr>
      <w:r>
        <w:t>④结转结余率，指标2分，得2分。</w:t>
      </w:r>
    </w:p>
    <w:p>
      <w:pPr>
        <w:pStyle w:val="18"/>
        <w:ind w:firstLine="640"/>
        <w:rPr>
          <w:rFonts w:hint="default"/>
        </w:rPr>
      </w:pPr>
      <w:r>
        <w:t>2021年我单位全年总预算3752.40万元，年底结余</w:t>
      </w:r>
      <w:r>
        <w:rPr>
          <w:color w:val="FF0000"/>
        </w:rPr>
        <w:t>0</w:t>
      </w:r>
      <w:r>
        <w:t>万元，结转结余率</w:t>
      </w:r>
      <w:r>
        <w:rPr>
          <w:color w:val="FF0000"/>
        </w:rPr>
        <w:t>0%</w:t>
      </w:r>
      <w:r>
        <w:t>。</w:t>
      </w:r>
    </w:p>
    <w:p>
      <w:pPr>
        <w:pStyle w:val="18"/>
        <w:ind w:firstLine="640"/>
        <w:rPr>
          <w:rFonts w:hint="default"/>
        </w:rPr>
      </w:pPr>
      <w:r>
        <w:t>⑤“三公经费”控制率，指标1分，得1分。</w:t>
      </w:r>
    </w:p>
    <w:p>
      <w:pPr>
        <w:pStyle w:val="18"/>
        <w:ind w:firstLine="640"/>
        <w:rPr>
          <w:rFonts w:hint="default"/>
        </w:rPr>
      </w:pPr>
      <w:r>
        <w:t>我单位2021年三公预算数</w:t>
      </w:r>
      <w:r>
        <w:rPr>
          <w:color w:val="FF0000"/>
        </w:rPr>
        <w:t>56.77</w:t>
      </w:r>
      <w:r>
        <w:t>元，2021年三公经费执行数</w:t>
      </w:r>
      <w:r>
        <w:rPr>
          <w:color w:val="FF0000"/>
        </w:rPr>
        <w:t>56.77</w:t>
      </w:r>
      <w:r>
        <w:t>元，控制率</w:t>
      </w:r>
      <w:r>
        <w:rPr>
          <w:color w:val="FF0000"/>
        </w:rPr>
        <w:t>100%</w:t>
      </w:r>
      <w:r>
        <w:t>。</w:t>
      </w:r>
    </w:p>
    <w:p>
      <w:pPr>
        <w:pStyle w:val="18"/>
        <w:ind w:firstLine="640"/>
        <w:rPr>
          <w:rFonts w:hint="default"/>
          <w:highlight w:val="none"/>
        </w:rPr>
      </w:pPr>
      <w:r>
        <w:rPr>
          <w:highlight w:val="none"/>
        </w:rPr>
        <w:t>⑥政府采购执行率，指标1分，得1分。</w:t>
      </w:r>
    </w:p>
    <w:p>
      <w:pPr>
        <w:pStyle w:val="18"/>
        <w:ind w:firstLine="640"/>
        <w:rPr>
          <w:rFonts w:hint="default"/>
          <w:highlight w:val="yellow"/>
        </w:rPr>
      </w:pPr>
      <w:r>
        <w:rPr>
          <w:highlight w:val="none"/>
        </w:rPr>
        <w:t>我单位2021年计划采购项目</w:t>
      </w:r>
      <w:r>
        <w:rPr>
          <w:rFonts w:hint="eastAsia"/>
          <w:color w:val="FF0000"/>
          <w:highlight w:val="none"/>
          <w:lang w:val="en-US" w:eastAsia="zh-CN"/>
        </w:rPr>
        <w:t>19</w:t>
      </w:r>
      <w:r>
        <w:rPr>
          <w:highlight w:val="none"/>
        </w:rPr>
        <w:t>项，</w:t>
      </w:r>
      <w:r>
        <w:rPr>
          <w:rFonts w:hint="eastAsia"/>
          <w:color w:val="FF0000"/>
          <w:highlight w:val="none"/>
          <w:lang w:val="en-US" w:eastAsia="zh-CN"/>
        </w:rPr>
        <w:t>19</w:t>
      </w:r>
      <w:r>
        <w:rPr>
          <w:highlight w:val="none"/>
        </w:rPr>
        <w:t>项全部通过政府采购方式确定供应商，政府采购执行率</w:t>
      </w:r>
      <w:r>
        <w:rPr>
          <w:rFonts w:hint="eastAsia"/>
          <w:color w:val="FF0000"/>
          <w:highlight w:val="none"/>
          <w:lang w:val="en-US" w:eastAsia="zh-CN"/>
        </w:rPr>
        <w:t>100%</w:t>
      </w:r>
      <w:r>
        <w:rPr>
          <w:highlight w:val="none"/>
        </w:rPr>
        <w:t>。</w:t>
      </w:r>
    </w:p>
    <w:p>
      <w:pPr>
        <w:pStyle w:val="18"/>
        <w:ind w:firstLine="640"/>
        <w:rPr>
          <w:rFonts w:hint="default"/>
        </w:rPr>
      </w:pPr>
      <w:r>
        <w:t>⑦决算真实性，指标1分，得1分。</w:t>
      </w:r>
    </w:p>
    <w:p>
      <w:pPr>
        <w:pStyle w:val="18"/>
        <w:ind w:firstLine="640"/>
        <w:rPr>
          <w:rFonts w:hint="default"/>
        </w:rPr>
      </w:pPr>
      <w:r>
        <w:t>我单位2021年决算编制数据真实，决算报表数据与会计账簿数据一致。</w:t>
      </w:r>
    </w:p>
    <w:p>
      <w:pPr>
        <w:pStyle w:val="18"/>
        <w:ind w:firstLine="640"/>
        <w:rPr>
          <w:rFonts w:hint="default"/>
          <w:highlight w:val="yellow"/>
        </w:rPr>
      </w:pPr>
      <w:r>
        <w:t>⑧资金使用合规性，指标2分，得2分。</w:t>
      </w:r>
    </w:p>
    <w:p>
      <w:pPr>
        <w:pStyle w:val="18"/>
        <w:ind w:firstLine="640"/>
        <w:rPr>
          <w:rFonts w:hint="default"/>
        </w:rPr>
      </w:pPr>
      <w:r>
        <w:t>我单位参照相关国家法律法规，在《内部控制基本制度》中制定了财务管理、资产管理等相关管理办法，且针对专项资金制定了《专项资金管理办法》，《办法》符合国家财经法规、财务法规和财务管理制度以及有关专项资金管理办法的规定；资金的拨付有完整的审批程序和手续；项目的重大开支需经过评估论证；符合部门预算批复的用途；2021年度资金不存在截留支出情况；不存在挤占支出情况；不存在挪用支出情况；不存在虚列支出情况。</w:t>
      </w:r>
    </w:p>
    <w:p>
      <w:pPr>
        <w:pStyle w:val="18"/>
        <w:ind w:firstLine="640"/>
        <w:rPr>
          <w:rFonts w:hint="default"/>
        </w:rPr>
      </w:pPr>
      <w:r>
        <w:t>⑨管理制度健全性，指标1分，得1分。</w:t>
      </w:r>
    </w:p>
    <w:p>
      <w:pPr>
        <w:pStyle w:val="18"/>
        <w:ind w:firstLine="640"/>
        <w:rPr>
          <w:rFonts w:hint="default"/>
        </w:rPr>
      </w:pPr>
      <w:r>
        <w:t>我单位根据相关法律法规制度，制定了《专项资金管理办法》和完整的内控制度，且2021年我单位均未发生资金支出、工作执行方面的违规情况，管理制度有效。</w:t>
      </w:r>
    </w:p>
    <w:p>
      <w:pPr>
        <w:pStyle w:val="18"/>
        <w:ind w:firstLine="640"/>
        <w:rPr>
          <w:rFonts w:hint="default"/>
        </w:rPr>
      </w:pPr>
      <w:r>
        <w:t>⑩预决算信息公开性，指标1分，得1分。</w:t>
      </w:r>
    </w:p>
    <w:p>
      <w:pPr>
        <w:pStyle w:val="18"/>
        <w:ind w:firstLine="640"/>
        <w:rPr>
          <w:rFonts w:hint="default"/>
          <w:highlight w:val="yellow"/>
        </w:rPr>
      </w:pPr>
      <w:r>
        <w:t>我单位认真落实《中华人民共和国政府信息公开条例》，按照政府信息“公开是原则，不公开是例外”的要求，做到“应公开，尽公开”，2021年预算信息已在“太康县人民政府官网”公开，2021年决算信息经太康县财政局审批通过，按照要求，及时公开。</w:t>
      </w:r>
    </w:p>
    <w:p>
      <w:pPr>
        <w:pStyle w:val="18"/>
        <w:ind w:firstLine="640"/>
        <w:rPr>
          <w:rFonts w:hint="default"/>
        </w:rPr>
      </w:pPr>
      <w:r>
        <w:t>⑪资产管理规范性，指标1分，得1分。</w:t>
      </w:r>
    </w:p>
    <w:p>
      <w:pPr>
        <w:pStyle w:val="18"/>
        <w:ind w:firstLine="640"/>
        <w:rPr>
          <w:rFonts w:hint="default"/>
        </w:rPr>
      </w:pPr>
      <w:r>
        <w:t>我单位严格按照《国有资产管理内控制度》要求，资产配置、使用合规，处置规范，资产及时规范入账，资产报表数据与会计账簿数据相符，资产实物与财务账、资产账相符；新增资产符合规定程序和规定标准，新增资产考虑闲置存量资产；资产对外有偿使用（出租出借等）、对外投资、担保、资产处置等事项按规定报批；资产收益及时足额上交财政。</w:t>
      </w:r>
    </w:p>
    <w:p>
      <w:pPr>
        <w:pStyle w:val="18"/>
        <w:ind w:firstLine="640"/>
        <w:rPr>
          <w:rFonts w:hint="default"/>
        </w:rPr>
      </w:pPr>
      <w:r>
        <w:t>（3）绩效管理</w:t>
      </w:r>
    </w:p>
    <w:p>
      <w:pPr>
        <w:pStyle w:val="18"/>
        <w:ind w:firstLine="640"/>
        <w:rPr>
          <w:rFonts w:hint="default"/>
        </w:rPr>
      </w:pPr>
      <w:r>
        <w:t>①绩效监控完成率，指标2分，得2分。</w:t>
      </w:r>
    </w:p>
    <w:p>
      <w:pPr>
        <w:pStyle w:val="18"/>
        <w:ind w:firstLine="640"/>
        <w:rPr>
          <w:rFonts w:hint="default"/>
        </w:rPr>
      </w:pPr>
      <w:r>
        <w:t>部门绩效监控完成率=已完成绩效监控项目数量/部门项目总数×100%。</w:t>
      </w:r>
    </w:p>
    <w:p>
      <w:pPr>
        <w:pStyle w:val="18"/>
        <w:ind w:firstLine="640"/>
        <w:rPr>
          <w:rFonts w:hint="default"/>
        </w:rPr>
      </w:pPr>
      <w:r>
        <w:t>2021年度我单位共实施</w:t>
      </w:r>
      <w:r>
        <w:rPr>
          <w:color w:val="FF0000"/>
        </w:rPr>
        <w:t>7个</w:t>
      </w:r>
      <w:r>
        <w:t>项目，应开展效监控</w:t>
      </w:r>
      <w:r>
        <w:rPr>
          <w:color w:val="FF0000"/>
        </w:rPr>
        <w:t>7个</w:t>
      </w:r>
      <w:r>
        <w:t>项目，实际开展绩效监控</w:t>
      </w:r>
      <w:r>
        <w:rPr>
          <w:color w:val="FF0000"/>
        </w:rPr>
        <w:t>7</w:t>
      </w:r>
      <w:r>
        <w:t>个项目。部门绩效监控完成率为</w:t>
      </w:r>
      <w:r>
        <w:rPr>
          <w:color w:val="FF0000"/>
        </w:rPr>
        <w:t>100%</w:t>
      </w:r>
      <w:r>
        <w:t>。</w:t>
      </w:r>
    </w:p>
    <w:p>
      <w:pPr>
        <w:pStyle w:val="18"/>
        <w:ind w:firstLine="640"/>
        <w:rPr>
          <w:rFonts w:hint="default"/>
        </w:rPr>
      </w:pPr>
      <w:r>
        <w:t>②绩效自评完成率，指标2分，得2分。</w:t>
      </w:r>
    </w:p>
    <w:p>
      <w:pPr>
        <w:pStyle w:val="18"/>
        <w:ind w:firstLine="640"/>
        <w:rPr>
          <w:rFonts w:hint="default"/>
        </w:rPr>
      </w:pPr>
      <w:r>
        <w:t>绩效自评完成率=已完成评价项目数量/部门项目总数×100%。</w:t>
      </w:r>
    </w:p>
    <w:p>
      <w:pPr>
        <w:pStyle w:val="18"/>
        <w:ind w:firstLine="640"/>
        <w:rPr>
          <w:rFonts w:hint="default"/>
        </w:rPr>
      </w:pPr>
      <w:r>
        <w:t>2021年度我单位共实施</w:t>
      </w:r>
      <w:r>
        <w:rPr>
          <w:color w:val="FF0000"/>
        </w:rPr>
        <w:t>7个</w:t>
      </w:r>
      <w:r>
        <w:t>项目，应开展绩效自评</w:t>
      </w:r>
      <w:r>
        <w:rPr>
          <w:color w:val="FF0000"/>
        </w:rPr>
        <w:t>7个</w:t>
      </w:r>
      <w:r>
        <w:t>项目，实际开展绩效自评</w:t>
      </w:r>
      <w:r>
        <w:rPr>
          <w:color w:val="FF0000"/>
        </w:rPr>
        <w:t>7个</w:t>
      </w:r>
      <w:r>
        <w:t>项目。部门绩效自评完成率为</w:t>
      </w:r>
      <w:r>
        <w:rPr>
          <w:color w:val="FF0000"/>
        </w:rPr>
        <w:t>100%</w:t>
      </w:r>
      <w:r>
        <w:t>。</w:t>
      </w:r>
    </w:p>
    <w:p>
      <w:pPr>
        <w:pStyle w:val="18"/>
        <w:ind w:firstLine="640"/>
        <w:rPr>
          <w:rFonts w:hint="default"/>
        </w:rPr>
      </w:pPr>
      <w:r>
        <w:t>③部门绩效评价完成率，指标2分，得2分。</w:t>
      </w:r>
    </w:p>
    <w:p>
      <w:pPr>
        <w:pStyle w:val="18"/>
        <w:ind w:firstLine="640"/>
        <w:rPr>
          <w:rFonts w:hint="default"/>
        </w:rPr>
      </w:pPr>
      <w:r>
        <w:t>部门绩效评价完成率=已完成评价项目数量/部门重点绩效评价项目数×100%。</w:t>
      </w:r>
    </w:p>
    <w:p>
      <w:pPr>
        <w:pStyle w:val="18"/>
        <w:ind w:firstLine="640"/>
        <w:rPr>
          <w:rFonts w:hint="default"/>
        </w:rPr>
      </w:pPr>
      <w:r>
        <w:t>2021年度我单位应开展部门重点绩效评价</w:t>
      </w:r>
      <w:r>
        <w:rPr>
          <w:color w:val="FF0000"/>
        </w:rPr>
        <w:t>7</w:t>
      </w:r>
      <w:r>
        <w:t>个项目，实际开展绩效评价</w:t>
      </w:r>
      <w:r>
        <w:rPr>
          <w:color w:val="FF0000"/>
        </w:rPr>
        <w:t>7</w:t>
      </w:r>
      <w:r>
        <w:t>个项目。部门绩效自评完成率为</w:t>
      </w:r>
      <w:r>
        <w:rPr>
          <w:color w:val="FF0000"/>
        </w:rPr>
        <w:t>100%</w:t>
      </w:r>
      <w:r>
        <w:t>。</w:t>
      </w:r>
    </w:p>
    <w:p>
      <w:pPr>
        <w:pStyle w:val="18"/>
        <w:ind w:firstLine="640"/>
        <w:rPr>
          <w:rFonts w:hint="default"/>
        </w:rPr>
      </w:pPr>
      <w:r>
        <w:t>④评价结果应用率，指标2分，得2分。</w:t>
      </w:r>
    </w:p>
    <w:p>
      <w:pPr>
        <w:pStyle w:val="18"/>
        <w:ind w:firstLine="640"/>
        <w:rPr>
          <w:rFonts w:hint="default"/>
        </w:rPr>
      </w:pPr>
      <w:r>
        <w:t>评价结果应用率=评价提出的意见建议采纳数/提出的意见建议总数100%。</w:t>
      </w:r>
    </w:p>
    <w:p>
      <w:pPr>
        <w:pStyle w:val="18"/>
        <w:ind w:firstLine="640"/>
        <w:rPr>
          <w:rFonts w:hint="default"/>
        </w:rPr>
      </w:pPr>
      <w:r>
        <w:t>2021年度我单位财政重点绩效评价未提出建议。评价结果应用率100%。</w:t>
      </w:r>
    </w:p>
    <w:p>
      <w:pPr>
        <w:pStyle w:val="5"/>
        <w:ind w:firstLine="643"/>
      </w:pPr>
      <w:r>
        <w:t>2.</w:t>
      </w:r>
      <w:r>
        <w:rPr>
          <w:rFonts w:hint="eastAsia"/>
        </w:rPr>
        <w:t>产出</w:t>
      </w:r>
      <w:r>
        <w:t>指标完成况分析</w:t>
      </w:r>
    </w:p>
    <w:p>
      <w:pPr>
        <w:pStyle w:val="18"/>
        <w:ind w:firstLine="640"/>
        <w:rPr>
          <w:rFonts w:hint="default"/>
        </w:rPr>
      </w:pPr>
      <w:r>
        <w:t>（1）重点工作任务完成</w:t>
      </w:r>
    </w:p>
    <w:p>
      <w:pPr>
        <w:pStyle w:val="18"/>
        <w:ind w:firstLine="640"/>
        <w:rPr>
          <w:rFonts w:hint="default"/>
        </w:rPr>
      </w:pPr>
      <w:r>
        <w:t>①重点工作1计划完成率：紧盯“稳经济一揽子政策措施”落实，整治形式主义、官僚主义问题，指标3分，得3分。</w:t>
      </w:r>
    </w:p>
    <w:p>
      <w:pPr>
        <w:pStyle w:val="18"/>
        <w:ind w:firstLine="640"/>
        <w:rPr>
          <w:rFonts w:hint="default"/>
        </w:rPr>
      </w:pPr>
      <w:r>
        <w:t>重点工作1实际完成率100%。</w:t>
      </w:r>
    </w:p>
    <w:p>
      <w:pPr>
        <w:pStyle w:val="18"/>
        <w:ind w:firstLine="640"/>
        <w:rPr>
          <w:rFonts w:hint="default"/>
        </w:rPr>
      </w:pPr>
      <w:r>
        <w:t>②重点工作2计划完成率：紧盯疫情防控，坚决守住长周期不发生规模性疫情底线，指标3分，得3分。</w:t>
      </w:r>
    </w:p>
    <w:p>
      <w:pPr>
        <w:pStyle w:val="18"/>
        <w:ind w:firstLine="640"/>
        <w:rPr>
          <w:rFonts w:hint="default"/>
        </w:rPr>
      </w:pPr>
      <w:r>
        <w:t>重点工作2实际完成率100%。</w:t>
      </w:r>
    </w:p>
    <w:p>
      <w:pPr>
        <w:pStyle w:val="18"/>
        <w:ind w:firstLine="640"/>
        <w:rPr>
          <w:rFonts w:hint="default"/>
        </w:rPr>
      </w:pPr>
      <w:r>
        <w:t>③重点工作3计划完成率：紧盯重点领域，防范化解重大风险，指标3分，得3分。</w:t>
      </w:r>
    </w:p>
    <w:p>
      <w:pPr>
        <w:pStyle w:val="18"/>
        <w:ind w:firstLine="640"/>
        <w:rPr>
          <w:rFonts w:hint="default"/>
        </w:rPr>
      </w:pPr>
      <w:r>
        <w:t>重点工作3实际完成率100%。</w:t>
      </w:r>
    </w:p>
    <w:p>
      <w:pPr>
        <w:pStyle w:val="18"/>
        <w:ind w:firstLine="640"/>
        <w:rPr>
          <w:rFonts w:hint="default"/>
        </w:rPr>
      </w:pPr>
      <w:r>
        <w:t>④重点工作4计划完成率：紧盯构建亲清政商关系，深化营商环境监督治理，指标3分，得3分。</w:t>
      </w:r>
    </w:p>
    <w:p>
      <w:pPr>
        <w:pStyle w:val="18"/>
        <w:ind w:firstLine="640"/>
        <w:rPr>
          <w:rFonts w:hint="default"/>
        </w:rPr>
      </w:pPr>
      <w:r>
        <w:t>重点工作4实际完成率100%。</w:t>
      </w:r>
    </w:p>
    <w:p>
      <w:pPr>
        <w:pStyle w:val="18"/>
        <w:ind w:firstLine="640"/>
        <w:rPr>
          <w:rFonts w:hint="default"/>
        </w:rPr>
      </w:pPr>
      <w:r>
        <w:t>⑤重点工作5计划完成率：紧盯整治“两违规”突出问题，加固中央八项规定堤坝，指标3分，得3分。</w:t>
      </w:r>
    </w:p>
    <w:p>
      <w:pPr>
        <w:pStyle w:val="18"/>
        <w:ind w:firstLine="640"/>
        <w:rPr>
          <w:rFonts w:hint="default"/>
        </w:rPr>
      </w:pPr>
      <w:r>
        <w:t>重点工作5实际完成率100%。</w:t>
      </w:r>
    </w:p>
    <w:p>
      <w:pPr>
        <w:pStyle w:val="18"/>
        <w:ind w:firstLine="640"/>
        <w:rPr>
          <w:rFonts w:hint="default"/>
        </w:rPr>
      </w:pPr>
      <w:r>
        <w:t>年度重点工作完成情况见附件1：部门整体支出自评表。</w:t>
      </w:r>
    </w:p>
    <w:p>
      <w:pPr>
        <w:pStyle w:val="18"/>
        <w:ind w:firstLine="640"/>
        <w:rPr>
          <w:rFonts w:hint="default"/>
        </w:rPr>
      </w:pPr>
      <w:r>
        <w:t>（2）履职目标实现</w:t>
      </w:r>
    </w:p>
    <w:p>
      <w:pPr>
        <w:pStyle w:val="18"/>
        <w:ind w:firstLine="640"/>
        <w:rPr>
          <w:rFonts w:hint="default"/>
        </w:rPr>
      </w:pPr>
      <w:r>
        <w:t>①年度工作目标1实现率：监督“稳经济一揽子政策措施”落实、疫情防控、防范化解重点领域风险、营造亲清政商关系、整治“两违规”突出问题。指标3分，得3分。</w:t>
      </w:r>
    </w:p>
    <w:p>
      <w:pPr>
        <w:pStyle w:val="18"/>
        <w:ind w:firstLine="640"/>
        <w:rPr>
          <w:rFonts w:hint="default"/>
        </w:rPr>
      </w:pPr>
      <w:r>
        <w:t>年度工作目标1实现率100%。</w:t>
      </w:r>
    </w:p>
    <w:p>
      <w:pPr>
        <w:pStyle w:val="18"/>
        <w:ind w:firstLine="640"/>
        <w:rPr>
          <w:rFonts w:hint="default"/>
        </w:rPr>
      </w:pPr>
      <w:r>
        <w:t>②年度工作目标2实现率：立足“监督的再监督”职能定位，充分发挥监督保障执行、促进完善发展作用。指标3分，得3分。</w:t>
      </w:r>
    </w:p>
    <w:p>
      <w:pPr>
        <w:pStyle w:val="18"/>
        <w:ind w:firstLine="640"/>
        <w:rPr>
          <w:rFonts w:hint="default"/>
        </w:rPr>
      </w:pPr>
      <w:r>
        <w:t>年度工作目标2实现率100%。</w:t>
      </w:r>
    </w:p>
    <w:p>
      <w:pPr>
        <w:pStyle w:val="18"/>
        <w:ind w:firstLine="640"/>
        <w:rPr>
          <w:rFonts w:hint="default"/>
        </w:rPr>
      </w:pPr>
      <w:r>
        <w:t>③年度工作目标3实现率：组织各级纪检监察干部深入一线，强化监督、压实责任，以高质量监督稳经济、保落实、促发展。指标3分，得3分。</w:t>
      </w:r>
    </w:p>
    <w:p>
      <w:pPr>
        <w:pStyle w:val="18"/>
        <w:ind w:firstLine="640"/>
        <w:rPr>
          <w:rFonts w:hint="default"/>
        </w:rPr>
      </w:pPr>
      <w:r>
        <w:t>年度工作目标3实现率100%。</w:t>
      </w:r>
    </w:p>
    <w:p>
      <w:pPr>
        <w:pStyle w:val="18"/>
        <w:ind w:firstLine="640"/>
        <w:rPr>
          <w:rFonts w:hint="default"/>
        </w:rPr>
      </w:pPr>
      <w:r>
        <w:t>年度工作目标完成情况见附件1：部门整体支出自评表。</w:t>
      </w:r>
    </w:p>
    <w:p>
      <w:pPr>
        <w:pStyle w:val="18"/>
        <w:ind w:firstLine="640"/>
        <w:rPr>
          <w:rFonts w:hint="default"/>
        </w:rPr>
      </w:pPr>
      <w:r>
        <w:t>3.效益指标完成情况分析</w:t>
      </w:r>
    </w:p>
    <w:p>
      <w:pPr>
        <w:pStyle w:val="18"/>
        <w:ind w:firstLine="640"/>
        <w:rPr>
          <w:rFonts w:hint="default"/>
        </w:rPr>
      </w:pPr>
      <w:r>
        <w:t>（1）履职效益</w:t>
      </w:r>
    </w:p>
    <w:p>
      <w:pPr>
        <w:pStyle w:val="18"/>
        <w:ind w:firstLine="640"/>
        <w:rPr>
          <w:rFonts w:hint="default"/>
        </w:rPr>
      </w:pPr>
      <w:r>
        <w:t>①保证重大政策落实，指标10分，得8分。</w:t>
      </w:r>
    </w:p>
    <w:p>
      <w:pPr>
        <w:pStyle w:val="18"/>
        <w:ind w:firstLine="640"/>
      </w:pPr>
      <w:r>
        <w:t>根据实地核查与社会调查数据结果，此次社会调查共100人，80人认为非常满意和比较满意，占比80%。根据评分规则，该指标得8分。</w:t>
      </w:r>
    </w:p>
    <w:p>
      <w:pPr>
        <w:pStyle w:val="18"/>
        <w:ind w:firstLine="640"/>
        <w:rPr>
          <w:rFonts w:hint="default"/>
          <w:color w:val="auto"/>
        </w:rPr>
      </w:pPr>
      <w:r>
        <w:rPr>
          <w:rFonts w:hint="eastAsia"/>
          <w:color w:val="auto"/>
          <w:lang w:val="en-US" w:eastAsia="zh-CN"/>
        </w:rPr>
        <w:t>②</w:t>
      </w:r>
      <w:r>
        <w:rPr>
          <w:rFonts w:hint="eastAsia"/>
          <w:color w:val="auto"/>
          <w:lang w:eastAsia="zh-CN"/>
        </w:rPr>
        <w:t>提升营商环境</w:t>
      </w:r>
      <w:r>
        <w:rPr>
          <w:color w:val="auto"/>
        </w:rPr>
        <w:t>，指标10分，得</w:t>
      </w:r>
      <w:r>
        <w:rPr>
          <w:rFonts w:hint="eastAsia"/>
          <w:color w:val="auto"/>
          <w:lang w:val="en-US" w:eastAsia="zh-CN"/>
        </w:rPr>
        <w:t>10</w:t>
      </w:r>
      <w:r>
        <w:rPr>
          <w:color w:val="auto"/>
        </w:rPr>
        <w:t>分。</w:t>
      </w:r>
    </w:p>
    <w:p>
      <w:pPr>
        <w:pStyle w:val="18"/>
        <w:ind w:firstLine="640"/>
        <w:rPr>
          <w:color w:val="auto"/>
        </w:rPr>
      </w:pPr>
      <w:r>
        <w:rPr>
          <w:color w:val="auto"/>
        </w:rPr>
        <w:t>根据社会调查数据，此次社会调查共100人，</w:t>
      </w:r>
      <w:r>
        <w:rPr>
          <w:rFonts w:hint="eastAsia"/>
          <w:color w:val="auto"/>
          <w:lang w:val="en-US" w:eastAsia="zh-CN"/>
        </w:rPr>
        <w:t>100</w:t>
      </w:r>
      <w:r>
        <w:rPr>
          <w:color w:val="auto"/>
        </w:rPr>
        <w:t>人认为非常满意和比较满意，占比</w:t>
      </w:r>
      <w:r>
        <w:rPr>
          <w:rFonts w:hint="eastAsia"/>
          <w:color w:val="auto"/>
          <w:lang w:val="en-US" w:eastAsia="zh-CN"/>
        </w:rPr>
        <w:t>100</w:t>
      </w:r>
      <w:r>
        <w:rPr>
          <w:color w:val="auto"/>
        </w:rPr>
        <w:t>%。根据评分规则，该指标得</w:t>
      </w:r>
      <w:r>
        <w:rPr>
          <w:rFonts w:hint="eastAsia"/>
          <w:color w:val="auto"/>
          <w:lang w:val="en-US" w:eastAsia="zh-CN"/>
        </w:rPr>
        <w:t>10</w:t>
      </w:r>
      <w:r>
        <w:rPr>
          <w:color w:val="auto"/>
        </w:rPr>
        <w:t>分。</w:t>
      </w:r>
    </w:p>
    <w:p>
      <w:pPr>
        <w:pStyle w:val="18"/>
        <w:ind w:firstLine="640"/>
        <w:rPr>
          <w:rFonts w:hint="default"/>
        </w:rPr>
      </w:pPr>
      <w:r>
        <w:t>（2）满意度</w:t>
      </w:r>
    </w:p>
    <w:p>
      <w:pPr>
        <w:pStyle w:val="18"/>
        <w:ind w:firstLine="640"/>
        <w:rPr>
          <w:rFonts w:hint="default"/>
        </w:rPr>
      </w:pPr>
      <w:r>
        <w:t>群众满意度，指标10分，得10分。</w:t>
      </w:r>
    </w:p>
    <w:p>
      <w:pPr>
        <w:pStyle w:val="18"/>
        <w:ind w:firstLine="640"/>
        <w:rPr>
          <w:rFonts w:hint="default"/>
        </w:rPr>
      </w:pPr>
      <w:r>
        <w:t>群众满意度问卷共发放100份，回收问卷100份，其中有效问卷100份，问卷有效率100%。</w:t>
      </w:r>
    </w:p>
    <w:p>
      <w:pPr>
        <w:pStyle w:val="18"/>
        <w:ind w:firstLine="640"/>
        <w:rPr>
          <w:rFonts w:hint="default"/>
        </w:rPr>
      </w:pPr>
      <w:r>
        <w:t>据统计100总体满意度为100%，根据评分规则，该指标得10分。</w:t>
      </w:r>
    </w:p>
    <w:p>
      <w:pPr>
        <w:pStyle w:val="3"/>
      </w:pPr>
      <w:bookmarkStart w:id="25" w:name="_Toc22457"/>
      <w:r>
        <w:t>五、发现的主要问题和改进措施</w:t>
      </w:r>
      <w:bookmarkEnd w:id="25"/>
    </w:p>
    <w:p>
      <w:pPr>
        <w:pStyle w:val="18"/>
        <w:ind w:firstLine="640"/>
        <w:rPr>
          <w:rFonts w:hint="default"/>
        </w:rPr>
      </w:pPr>
      <w:r>
        <w:t>通过本次绩效自评，我单位在预算支出管理方面还存在以下几方面的问题：</w:t>
      </w:r>
    </w:p>
    <w:p>
      <w:pPr>
        <w:pStyle w:val="4"/>
      </w:pPr>
      <w:bookmarkStart w:id="26" w:name="_Toc1104"/>
      <w:r>
        <w:rPr>
          <w:rFonts w:hint="eastAsia"/>
        </w:rPr>
        <w:t>（一）</w:t>
      </w:r>
      <w:r>
        <w:t>发现的主要问题</w:t>
      </w:r>
      <w:bookmarkEnd w:id="26"/>
    </w:p>
    <w:p>
      <w:pPr>
        <w:pStyle w:val="18"/>
        <w:ind w:firstLine="640"/>
        <w:rPr>
          <w:rFonts w:hint="default"/>
        </w:rPr>
      </w:pPr>
      <w:r>
        <w:t>1.</w:t>
      </w:r>
      <w:r>
        <w:rPr>
          <w:rFonts w:ascii="仿宋" w:hAnsi="仿宋" w:cs="仿宋_GB2312"/>
          <w:color w:val="000000" w:themeColor="text1"/>
        </w:rPr>
        <w:t xml:space="preserve"> 预算编制及绩效目标设立不够明确、细化和量化。</w:t>
      </w:r>
    </w:p>
    <w:p>
      <w:pPr>
        <w:pStyle w:val="18"/>
        <w:ind w:firstLine="640"/>
        <w:rPr>
          <w:rFonts w:hint="default"/>
        </w:rPr>
      </w:pPr>
      <w:bookmarkStart w:id="27" w:name="_Toc5996"/>
      <w:r>
        <w:t>2.</w:t>
      </w:r>
      <w:bookmarkEnd w:id="27"/>
      <w:r>
        <w:rPr>
          <w:rFonts w:ascii="仿宋" w:hAnsi="仿宋" w:cs="仿宋_GB2312"/>
          <w:color w:val="000000" w:themeColor="text1"/>
        </w:rPr>
        <w:t xml:space="preserve"> 资金使用效益有待进一步提高。</w:t>
      </w:r>
    </w:p>
    <w:p>
      <w:pPr>
        <w:pStyle w:val="4"/>
        <w:rPr>
          <w:lang w:val="zh-CN"/>
        </w:rPr>
      </w:pPr>
      <w:bookmarkStart w:id="28" w:name="_Toc17027"/>
      <w:r>
        <w:rPr>
          <w:rFonts w:hint="eastAsia"/>
        </w:rPr>
        <w:t>（二）</w:t>
      </w:r>
      <w:r>
        <w:rPr>
          <w:lang w:val="zh-CN"/>
        </w:rPr>
        <w:t>下一步改进措施</w:t>
      </w:r>
      <w:bookmarkEnd w:id="28"/>
    </w:p>
    <w:p>
      <w:pPr>
        <w:pStyle w:val="18"/>
        <w:ind w:firstLine="640"/>
        <w:rPr>
          <w:rFonts w:hint="default"/>
          <w:lang w:val="zh-CN"/>
        </w:rPr>
      </w:pPr>
      <w:r>
        <w:rPr>
          <w:lang w:val="zh-CN"/>
        </w:rPr>
        <w:t>根据今后的工作任务和要求，吸取前年工作的经验，明确努力方向，加强绩效评价在目标上的设定，完善绩效评价内容。</w:t>
      </w:r>
    </w:p>
    <w:p>
      <w:pPr>
        <w:pStyle w:val="18"/>
        <w:ind w:firstLine="640"/>
        <w:rPr>
          <w:rFonts w:hint="default"/>
        </w:rPr>
      </w:pPr>
      <w:r>
        <w:t>1.</w:t>
      </w:r>
      <w:r>
        <w:rPr>
          <w:rFonts w:ascii="仿宋" w:hAnsi="仿宋" w:cs="仿宋_GB2312"/>
          <w:color w:val="000000" w:themeColor="text1"/>
        </w:rPr>
        <w:t xml:space="preserve"> 进一步加强预算编制工作。根据本单位业务开展需要，逐项做出合理的可执行的预算计划。</w:t>
      </w:r>
    </w:p>
    <w:p>
      <w:pPr>
        <w:pStyle w:val="18"/>
        <w:ind w:firstLine="640"/>
        <w:rPr>
          <w:rFonts w:hint="default" w:ascii="仿宋" w:hAnsi="仿宋" w:cs="仿宋_GB2312"/>
          <w:color w:val="000000" w:themeColor="text1"/>
        </w:rPr>
      </w:pPr>
      <w:bookmarkStart w:id="29" w:name="_Toc9662"/>
      <w:bookmarkStart w:id="30" w:name="_Toc4527"/>
      <w:r>
        <w:t>2.</w:t>
      </w:r>
      <w:bookmarkEnd w:id="29"/>
      <w:r>
        <w:rPr>
          <w:rFonts w:ascii="仿宋" w:hAnsi="仿宋" w:cs="仿宋_GB2312"/>
          <w:color w:val="000000" w:themeColor="text1"/>
        </w:rPr>
        <w:t xml:space="preserve"> 加强绩效评价业务培训。部门整体绩效评价工作是一项长期性的工作，专业性强，工作量大，建议财政部门进一步加强开展部门领导及经办人员相关的政策、业务工作培训，组织开展部门之间、单位之间的经验交流，切实推进绩效评价工作的开展。</w:t>
      </w:r>
    </w:p>
    <w:p>
      <w:pPr>
        <w:pStyle w:val="18"/>
        <w:ind w:firstLine="640"/>
        <w:rPr>
          <w:rFonts w:hint="default"/>
        </w:rPr>
      </w:pPr>
      <w:r>
        <w:rPr>
          <w:rFonts w:ascii="仿宋" w:hAnsi="仿宋" w:cs="仿宋_GB2312"/>
          <w:color w:val="000000" w:themeColor="text1"/>
        </w:rPr>
        <w:t>3. 切实做好预算财务分析常态化。定期做好预算支出财务分析，做好部门整体支出评价工作。</w:t>
      </w:r>
    </w:p>
    <w:p>
      <w:pPr>
        <w:pStyle w:val="4"/>
      </w:pPr>
      <w:bookmarkStart w:id="31" w:name="_Toc23218"/>
      <w:r>
        <w:rPr>
          <w:rFonts w:hint="eastAsia"/>
        </w:rPr>
        <w:t>（三）绩效自评结果应用</w:t>
      </w:r>
      <w:bookmarkEnd w:id="31"/>
    </w:p>
    <w:p>
      <w:pPr>
        <w:pStyle w:val="18"/>
        <w:ind w:firstLine="643"/>
        <w:rPr>
          <w:rFonts w:hint="default"/>
          <w:b/>
          <w:bCs/>
        </w:rPr>
      </w:pPr>
      <w:r>
        <w:rPr>
          <w:b/>
          <w:bCs/>
        </w:rPr>
        <w:t>1.以绩效评价结果应用为目标，坚持报告与公开相结合</w:t>
      </w:r>
      <w:bookmarkEnd w:id="30"/>
    </w:p>
    <w:p>
      <w:pPr>
        <w:pStyle w:val="18"/>
        <w:ind w:firstLine="640"/>
        <w:rPr>
          <w:rFonts w:hint="default"/>
        </w:rPr>
      </w:pPr>
      <w:r>
        <w:t>为加强绩效评价结果的应用，根据太康县财政局《关于开展2021年度部门整体支出绩效自评工作的通知》文件的要求，2021年度局部门整体绩效自评报告及自评表按时上报财政局，将绩效评价结果应用于下一年的预算编制。</w:t>
      </w:r>
    </w:p>
    <w:p>
      <w:pPr>
        <w:pStyle w:val="18"/>
        <w:ind w:firstLine="643"/>
        <w:rPr>
          <w:rFonts w:hint="default"/>
          <w:b/>
          <w:bCs/>
        </w:rPr>
      </w:pPr>
      <w:bookmarkStart w:id="32" w:name="_Toc1950"/>
      <w:r>
        <w:rPr>
          <w:b/>
          <w:bCs/>
        </w:rPr>
        <w:t>2.以绩效评价反馈问题为导向，提出整改的思路和办法</w:t>
      </w:r>
      <w:bookmarkEnd w:id="32"/>
    </w:p>
    <w:p>
      <w:pPr>
        <w:pStyle w:val="18"/>
        <w:ind w:firstLine="640"/>
        <w:rPr>
          <w:rFonts w:hint="default"/>
          <w:lang w:val="zh-CN"/>
        </w:rPr>
      </w:pPr>
      <w:r>
        <w:t>根据绩效自评结果，要求各乡（镇）纪委，县纪委监委各派驻纪检监察组，委机关各部室进一步分析绩效目标未完成的原因，发现工作存在的问题，提出整改思路和解决办法，结合社会公众反应的相关意见和建议，以问题为导向，扎实推进委机关各项工作发展。</w:t>
      </w:r>
    </w:p>
    <w:p>
      <w:pPr>
        <w:pStyle w:val="3"/>
      </w:pPr>
      <w:bookmarkStart w:id="33" w:name="_Toc32190"/>
      <w:r>
        <w:rPr>
          <w:rFonts w:hint="eastAsia"/>
        </w:rPr>
        <w:t>六、有关建议</w:t>
      </w:r>
      <w:bookmarkEnd w:id="33"/>
    </w:p>
    <w:p>
      <w:pPr>
        <w:pStyle w:val="18"/>
        <w:ind w:firstLine="640"/>
        <w:rPr>
          <w:rFonts w:hint="default"/>
        </w:rPr>
      </w:pPr>
      <w:r>
        <w:t>通过此次绩效自评工作的开展，我单位意识到自身需加强绩效管理，培养工作人员的绩效管理意识，增加相关人员绩效管理知识性和系统性的培训，使今后绩效管理的工作能够更好的开展。</w:t>
      </w:r>
    </w:p>
    <w:p>
      <w:pPr>
        <w:pStyle w:val="3"/>
      </w:pPr>
      <w:bookmarkStart w:id="34" w:name="_Toc26117"/>
      <w:r>
        <w:t>七、</w:t>
      </w:r>
      <w:r>
        <w:rPr>
          <w:rFonts w:hint="eastAsia"/>
        </w:rPr>
        <w:t>其他需要说明的问题</w:t>
      </w:r>
      <w:bookmarkEnd w:id="34"/>
    </w:p>
    <w:p>
      <w:pPr>
        <w:pStyle w:val="4"/>
      </w:pPr>
      <w:bookmarkStart w:id="35" w:name="_Toc15457"/>
      <w:bookmarkStart w:id="36" w:name="_Toc85"/>
      <w:r>
        <w:rPr>
          <w:rFonts w:hint="eastAsia"/>
        </w:rPr>
        <w:t>（一）绩效自评工作经验</w:t>
      </w:r>
      <w:bookmarkEnd w:id="35"/>
      <w:bookmarkEnd w:id="36"/>
    </w:p>
    <w:p>
      <w:pPr>
        <w:pStyle w:val="18"/>
        <w:ind w:firstLine="640"/>
        <w:jc w:val="both"/>
        <w:rPr>
          <w:rFonts w:hint="default"/>
        </w:rPr>
      </w:pPr>
      <w:r>
        <w:t>我单位通过此次部门整体绩效自评，我单位充分了解到本级部门的整体运行情况和工作开展进度、成效及不足之处。</w:t>
      </w:r>
    </w:p>
    <w:p>
      <w:pPr>
        <w:pStyle w:val="18"/>
        <w:ind w:firstLine="640"/>
        <w:jc w:val="both"/>
        <w:rPr>
          <w:rFonts w:hint="default"/>
        </w:rPr>
      </w:pPr>
      <w:r>
        <w:t>此次评价发现的相关问题和经验，为我单位今后的工作规划提供了借鉴、能够指导今后工作实际开展，促使我单位内部管理的系统化和规范化。</w:t>
      </w:r>
    </w:p>
    <w:p>
      <w:pPr>
        <w:pStyle w:val="4"/>
      </w:pPr>
      <w:bookmarkStart w:id="37" w:name="_Toc5863"/>
      <w:bookmarkStart w:id="38" w:name="_Toc16742"/>
      <w:r>
        <w:rPr>
          <w:rFonts w:hint="eastAsia"/>
        </w:rPr>
        <w:t>（二）绩效自评工作发现的其他问题</w:t>
      </w:r>
      <w:bookmarkEnd w:id="37"/>
      <w:bookmarkEnd w:id="38"/>
    </w:p>
    <w:p>
      <w:pPr>
        <w:pStyle w:val="18"/>
        <w:ind w:firstLine="640"/>
        <w:rPr>
          <w:rFonts w:hint="default"/>
        </w:rPr>
      </w:pPr>
      <w:bookmarkStart w:id="39" w:name="_Toc32143"/>
      <w:bookmarkStart w:id="40" w:name="_Toc20640"/>
      <w:bookmarkStart w:id="41" w:name="_Toc24424"/>
      <w:r>
        <w:t>无。</w:t>
      </w:r>
    </w:p>
    <w:p>
      <w:pPr>
        <w:ind w:firstLine="640"/>
      </w:pPr>
    </w:p>
    <w:p>
      <w:pPr>
        <w:pStyle w:val="2"/>
        <w:ind w:firstLine="640"/>
        <w:sectPr>
          <w:pgSz w:w="11906" w:h="16838"/>
          <w:pgMar w:top="1440" w:right="1800" w:bottom="1440" w:left="1800" w:header="851" w:footer="992" w:gutter="0"/>
          <w:cols w:space="425" w:num="1"/>
          <w:docGrid w:type="lines" w:linePitch="312" w:charSpace="0"/>
        </w:sectPr>
      </w:pPr>
    </w:p>
    <w:p>
      <w:pPr>
        <w:pStyle w:val="3"/>
      </w:pPr>
      <w:bookmarkStart w:id="42" w:name="_Toc14584"/>
      <w:r>
        <w:rPr>
          <w:rFonts w:hint="eastAsia"/>
        </w:rPr>
        <w:t>附件1：</w:t>
      </w:r>
      <w:bookmarkEnd w:id="39"/>
      <w:bookmarkStart w:id="43" w:name="_Toc9225"/>
      <w:r>
        <w:rPr>
          <w:rFonts w:hint="eastAsia"/>
        </w:rPr>
        <w:t>2021年度部门整体绩效自评表</w:t>
      </w:r>
      <w:bookmarkEnd w:id="40"/>
      <w:bookmarkEnd w:id="41"/>
      <w:bookmarkEnd w:id="42"/>
      <w:bookmarkEnd w:id="43"/>
    </w:p>
    <w:tbl>
      <w:tblPr>
        <w:tblStyle w:val="11"/>
        <w:tblW w:w="0" w:type="auto"/>
        <w:tblInd w:w="0" w:type="dxa"/>
        <w:tblLayout w:type="autofit"/>
        <w:tblCellMar>
          <w:top w:w="0" w:type="dxa"/>
          <w:left w:w="0" w:type="dxa"/>
          <w:bottom w:w="0" w:type="dxa"/>
          <w:right w:w="0" w:type="dxa"/>
        </w:tblCellMar>
      </w:tblPr>
      <w:tblGrid>
        <w:gridCol w:w="843"/>
        <w:gridCol w:w="411"/>
        <w:gridCol w:w="1384"/>
        <w:gridCol w:w="3157"/>
        <w:gridCol w:w="2017"/>
        <w:gridCol w:w="2017"/>
        <w:gridCol w:w="1223"/>
        <w:gridCol w:w="493"/>
        <w:gridCol w:w="952"/>
        <w:gridCol w:w="1491"/>
      </w:tblGrid>
      <w:tr>
        <w:tblPrEx>
          <w:tblCellMar>
            <w:top w:w="0" w:type="dxa"/>
            <w:left w:w="0" w:type="dxa"/>
            <w:bottom w:w="0" w:type="dxa"/>
            <w:right w:w="0" w:type="dxa"/>
          </w:tblCellMar>
        </w:tblPrEx>
        <w:trPr>
          <w:trHeight w:val="27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ind w:firstLine="640"/>
            </w:pPr>
            <w:r>
              <w:rPr>
                <w:rFonts w:hint="eastAsia"/>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中国共产党太康县纪律检查委员会</w:t>
            </w:r>
          </w:p>
        </w:tc>
      </w:tr>
      <w:tr>
        <w:tblPrEx>
          <w:tblCellMar>
            <w:top w:w="0" w:type="dxa"/>
            <w:left w:w="0" w:type="dxa"/>
            <w:bottom w:w="0" w:type="dxa"/>
            <w:right w:w="0" w:type="dxa"/>
          </w:tblCellMar>
        </w:tblPrEx>
        <w:trPr>
          <w:trHeight w:val="63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预算执行情况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得分</w:t>
            </w:r>
          </w:p>
        </w:tc>
      </w:tr>
      <w:tr>
        <w:tblPrEx>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部门预算总额（万元）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3752</w:t>
            </w:r>
            <w:r>
              <w:rPr>
                <w:rFonts w:hint="eastAsia"/>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3752</w:t>
            </w:r>
            <w:r>
              <w:rPr>
                <w:rFonts w:hint="eastAsia"/>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3752</w:t>
            </w:r>
            <w:r>
              <w:rPr>
                <w:rFonts w:hint="eastAsia"/>
              </w:rPr>
              <w:t xml:space="preserve">.40 </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w:t>
            </w:r>
          </w:p>
        </w:tc>
      </w:tr>
      <w:tr>
        <w:tblPrEx>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3752</w:t>
            </w:r>
            <w:r>
              <w:rPr>
                <w:rFonts w:hint="eastAsia"/>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3752</w:t>
            </w:r>
            <w:r>
              <w:rPr>
                <w:rFonts w:hint="eastAsia"/>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3752</w:t>
            </w:r>
            <w:r>
              <w:rPr>
                <w:rFonts w:hint="eastAsia"/>
              </w:rPr>
              <w:t xml:space="preserve">.40 </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100%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201"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gridSpan w:val="2"/>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年度履职目标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预期目标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实际完成情况</w:t>
            </w:r>
          </w:p>
        </w:tc>
      </w:tr>
      <w:tr>
        <w:tblPrEx>
          <w:tblCellMar>
            <w:top w:w="0" w:type="dxa"/>
            <w:left w:w="0" w:type="dxa"/>
            <w:bottom w:w="0" w:type="dxa"/>
            <w:right w:w="0" w:type="dxa"/>
          </w:tblCellMar>
        </w:tblPrEx>
        <w:trPr>
          <w:trHeight w:val="340" w:hRule="atLeast"/>
        </w:trPr>
        <w:tc>
          <w:tcPr>
            <w:tcW w:w="0" w:type="auto"/>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目标名称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目标完成情况</w:t>
            </w:r>
          </w:p>
        </w:tc>
      </w:tr>
      <w:tr>
        <w:tblPrEx>
          <w:tblCellMar>
            <w:top w:w="0" w:type="dxa"/>
            <w:left w:w="0" w:type="dxa"/>
            <w:bottom w:w="0" w:type="dxa"/>
            <w:right w:w="0" w:type="dxa"/>
          </w:tblCellMar>
        </w:tblPrEx>
        <w:trPr>
          <w:trHeight w:val="589" w:hRule="atLeast"/>
        </w:trPr>
        <w:tc>
          <w:tcPr>
            <w:tcW w:w="0" w:type="auto"/>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目标</w:t>
            </w:r>
            <w:r>
              <w:t>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紧盯“稳经济一揽子政策措施”落实、疫情防控、防范化解重点领域风险、营造亲清政商关系、整治“两违规”突出问题。</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769" w:hRule="atLeast"/>
        </w:trPr>
        <w:tc>
          <w:tcPr>
            <w:tcW w:w="0" w:type="auto"/>
            <w:gridSpan w:val="2"/>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目标</w:t>
            </w:r>
            <w:r>
              <w:t>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立足“监督的再监督”职能定位，充分发挥监督保障执行、促进完善发展作用。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857" w:hRule="atLeast"/>
        </w:trPr>
        <w:tc>
          <w:tcPr>
            <w:tcW w:w="0" w:type="auto"/>
            <w:gridSpan w:val="2"/>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目标3</w:t>
            </w:r>
            <w:r>
              <w:t>:</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组织各级纪检监察干部深入一线，强化监督、压实责任，以高质量监督稳经济、保落实、促发展。</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40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年度主要任务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任务名称</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主要内容</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任务完成情况</w:t>
            </w:r>
          </w:p>
        </w:tc>
      </w:tr>
      <w:tr>
        <w:tblPrEx>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任务</w:t>
            </w:r>
            <w:r>
              <w:t>1:</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紧盯“稳经济一揽子政策措施”落实，整治形式主义、官僚主义问题。</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44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任务</w:t>
            </w:r>
            <w:r>
              <w:t>2:</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紧盯疫情防控，坚决守住长周期不发生规模性疫情底线。</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23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任务</w:t>
            </w:r>
            <w:r>
              <w:t>3:</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紧盯重点领域，防范化解重大风险。</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40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任务</w:t>
            </w:r>
            <w:r>
              <w:t>4:</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紧盯构建亲清政商关系，深化营商环境监督治理。</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36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任务</w:t>
            </w:r>
            <w:r>
              <w:t>5:</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rPr>
                <w:color w:val="3333FF"/>
              </w:rPr>
            </w:pPr>
            <w:r>
              <w:rPr>
                <w:rFonts w:hint="eastAsia"/>
                <w:color w:val="3333FF"/>
              </w:rPr>
              <w:t>紧盯整治“两违规”突出问题，加固中央八项规定堤坝。</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完成</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一级指标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二级指标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三级指标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指标值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指标说明</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实际完成值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分值</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得分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未完成原因分析及改进措施</w:t>
            </w:r>
          </w:p>
        </w:tc>
      </w:tr>
      <w:tr>
        <w:tblPrEx>
          <w:tblCellMar>
            <w:top w:w="0" w:type="dxa"/>
            <w:left w:w="0" w:type="dxa"/>
            <w:bottom w:w="0" w:type="dxa"/>
            <w:right w:w="0" w:type="dxa"/>
          </w:tblCellMar>
        </w:tblPrEx>
        <w:trPr>
          <w:trHeight w:val="37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58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投入管理指标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工作目标管理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年度履职目标相关性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相关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工作任务科学性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绩效指标合理性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基本合理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初次设置绩效指标</w:t>
            </w: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预算和财务管理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预算编制完整性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完整</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bookmarkStart w:id="44" w:name="_GoBack" w:colFirst="4" w:colLast="6"/>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专项资金细化率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rPr>
                <w:highlight w:val="none"/>
              </w:rPr>
            </w:pPr>
            <w:r>
              <w:rPr>
                <w:highlight w:val="none"/>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rPr>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rPr>
                <w:highlight w:val="none"/>
              </w:rPr>
            </w:pPr>
            <w:r>
              <w:rPr>
                <w:highlight w:val="none"/>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bookmarkEnd w:id="44"/>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预算调整率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≤2</w:t>
            </w:r>
            <w: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结转结余率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w:t>
            </w:r>
            <w: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w:t>
            </w:r>
            <w:r>
              <w:rPr>
                <w:rFonts w:hint="eastAsia"/>
              </w:rPr>
              <w:t>三公经费</w:t>
            </w:r>
            <w:r>
              <w:t>”</w:t>
            </w:r>
            <w:r>
              <w:rPr>
                <w:rFonts w:hint="eastAsia"/>
              </w:rPr>
              <w:t>控制率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w:t>
            </w:r>
            <w: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政府采购执行率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决算真实性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真实</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预决算信息公幵性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公开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资产管理规范性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绩效管理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绩效监控完成率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绩效自评完成率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41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部门绩效评价完成率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2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评价结果应用率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427" w:hRule="atLeast"/>
        </w:trPr>
        <w:tc>
          <w:tcPr>
            <w:tcW w:w="0" w:type="auto"/>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产出指标</w:t>
            </w:r>
          </w:p>
        </w:tc>
        <w:tc>
          <w:tcPr>
            <w:tcW w:w="0" w:type="auto"/>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4"/>
            </w:pPr>
            <w:r>
              <w:t>25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重点工作任务完成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重点工作</w:t>
            </w:r>
            <w:r>
              <w:t>1</w:t>
            </w:r>
            <w:r>
              <w:rPr>
                <w:rFonts w:hint="eastAsia"/>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rPr>
                <w:rFonts w:hint="eastAsia"/>
              </w:rPr>
              <w:t>100</w:t>
            </w:r>
            <w:r>
              <w:t>%</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414"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重点工作</w:t>
            </w:r>
            <w:r>
              <w:t>2</w:t>
            </w:r>
            <w:r>
              <w:rPr>
                <w:rFonts w:hint="eastAsia"/>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419"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重点工作</w:t>
            </w:r>
            <w:r>
              <w:t>3</w:t>
            </w:r>
            <w:r>
              <w:rPr>
                <w:rFonts w:hint="eastAsia"/>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401"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重点工作</w:t>
            </w:r>
            <w:r>
              <w:t>4</w:t>
            </w:r>
            <w:r>
              <w:rPr>
                <w:rFonts w:hint="eastAsia"/>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414"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重点工作</w:t>
            </w:r>
            <w:r>
              <w:t>5</w:t>
            </w:r>
            <w:r>
              <w:rPr>
                <w:rFonts w:hint="eastAsia"/>
              </w:rPr>
              <w:t>计划完成率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281"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restart"/>
            <w:tcBorders>
              <w:top w:val="single" w:color="000000" w:sz="4" w:space="0"/>
              <w:left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履职目标实现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年度工作目标</w:t>
            </w:r>
            <w:r>
              <w:t>1</w:t>
            </w:r>
            <w:r>
              <w:rPr>
                <w:rFonts w:hint="eastAsia"/>
              </w:rPr>
              <w:t>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87" w:hRule="atLeast"/>
        </w:trPr>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年度工作目标</w:t>
            </w:r>
            <w:r>
              <w:t>2</w:t>
            </w:r>
            <w:r>
              <w:rPr>
                <w:rFonts w:hint="eastAsia"/>
              </w:rPr>
              <w:t>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281" w:hRule="atLeast"/>
        </w:trPr>
        <w:tc>
          <w:tcPr>
            <w:tcW w:w="0" w:type="auto"/>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left w:val="single" w:color="000000" w:sz="4" w:space="0"/>
              <w:bottom w:val="nil"/>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年度工作目标3实现率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43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效益指标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35</w:t>
            </w:r>
          </w:p>
        </w:tc>
        <w:tc>
          <w:tcPr>
            <w:tcW w:w="0" w:type="auto"/>
            <w:vMerge w:val="restart"/>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14"/>
            </w:pPr>
            <w:r>
              <w:rPr>
                <w:rFonts w:hint="eastAsia"/>
              </w:rPr>
              <w:t>履职效益</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保</w:t>
            </w:r>
            <w:r>
              <w:rPr>
                <w:rFonts w:hint="eastAsia"/>
                <w:color w:val="3333FF"/>
              </w:rPr>
              <w:t>证重大政策落实</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保证</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保证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调查对象的主观性存在偏差</w:t>
            </w:r>
          </w:p>
        </w:tc>
      </w:tr>
      <w:tr>
        <w:tblPrEx>
          <w:tblCellMar>
            <w:top w:w="0" w:type="dxa"/>
            <w:left w:w="0" w:type="dxa"/>
            <w:bottom w:w="0" w:type="dxa"/>
            <w:right w:w="0" w:type="dxa"/>
          </w:tblCellMar>
        </w:tblPrEx>
        <w:trPr>
          <w:trHeight w:val="31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nil"/>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rPr>
                <w:color w:val="3333FF"/>
              </w:rPr>
            </w:pPr>
            <w:r>
              <w:rPr>
                <w:rFonts w:hint="eastAsia"/>
                <w:color w:val="3333FF"/>
              </w:rPr>
              <w:t>提</w:t>
            </w:r>
            <w:r>
              <w:rPr>
                <w:rFonts w:hint="eastAsia"/>
              </w:rPr>
              <w:t>升</w:t>
            </w:r>
            <w:r>
              <w:rPr>
                <w:rFonts w:hint="eastAsia"/>
                <w:color w:val="3333FF"/>
              </w:rPr>
              <w:t>营商环境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提升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7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pStyle w:val="14"/>
            </w:pPr>
            <w:r>
              <w:rPr>
                <w:rFonts w:hint="eastAsia"/>
              </w:rPr>
              <w:t>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rPr>
                <w:rFonts w:hint="eastAsia"/>
              </w:rPr>
              <w:t>≥</w:t>
            </w:r>
            <w: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r>
              <w:t>96.00%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328"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4"/>
            </w:pP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t>9</w:t>
            </w:r>
            <w:r>
              <w:rPr>
                <w:rFonts w:hint="eastAsia"/>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p>
        </w:tc>
      </w:tr>
      <w:tr>
        <w:tblPrEx>
          <w:tblCellMar>
            <w:top w:w="0" w:type="dxa"/>
            <w:left w:w="0" w:type="dxa"/>
            <w:bottom w:w="0" w:type="dxa"/>
            <w:right w:w="0" w:type="dxa"/>
          </w:tblCellMar>
        </w:tblPrEx>
        <w:trPr>
          <w:trHeight w:val="90" w:hRule="atLeast"/>
        </w:trPr>
        <w:tc>
          <w:tcPr>
            <w:tcW w:w="0" w:type="auto"/>
            <w:gridSpan w:val="10"/>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pStyle w:val="14"/>
            </w:pPr>
            <w:r>
              <w:rPr>
                <w:rFonts w:hint="eastAsia"/>
              </w:rPr>
              <w:t>注：</w:t>
            </w:r>
            <w:r>
              <w:t>1.</w:t>
            </w:r>
            <w:r>
              <w:rPr>
                <w:rFonts w:hint="eastAsia"/>
              </w:rPr>
              <w:t>自评采取打分评价的形式，满分为</w:t>
            </w:r>
            <w:r>
              <w:t>100</w:t>
            </w:r>
            <w:r>
              <w:rPr>
                <w:rFonts w:hint="eastAsia"/>
              </w:rPr>
              <w:t>分，各部门（单位）可根据指标的重要程度自主确定各项三级指标的权重分值，各项指标得分加总得出该项 目绩效自评的总分</w:t>
            </w:r>
            <w:r>
              <w:t>.</w:t>
            </w:r>
            <w:r>
              <w:rPr>
                <w:rFonts w:hint="eastAsia"/>
              </w:rPr>
              <w:t>原则上一级指标分值统一设</w:t>
            </w:r>
            <w:r>
              <w:t>a</w:t>
            </w:r>
            <w:r>
              <w:rPr>
                <w:rFonts w:hint="eastAsia"/>
              </w:rPr>
              <w:t>为：投入管理指标</w:t>
            </w:r>
            <w:r>
              <w:t>30</w:t>
            </w:r>
            <w:r>
              <w:rPr>
                <w:rFonts w:hint="eastAsia"/>
              </w:rPr>
              <w:t>分、产出指标</w:t>
            </w:r>
            <w:r>
              <w:t>25</w:t>
            </w:r>
            <w:r>
              <w:rPr>
                <w:rFonts w:hint="eastAsia"/>
              </w:rPr>
              <w:t>分、效益指标</w:t>
            </w:r>
            <w:r>
              <w:t>35</w:t>
            </w:r>
            <w:r>
              <w:rPr>
                <w:rFonts w:hint="eastAsia"/>
              </w:rPr>
              <w:t>分、预算执行率</w:t>
            </w:r>
            <w:r>
              <w:t>10</w:t>
            </w:r>
            <w:r>
              <w:rPr>
                <w:rFonts w:hint="eastAsia"/>
              </w:rPr>
              <w:t>分</w:t>
            </w:r>
            <w:r>
              <w:t>.2.</w:t>
            </w:r>
            <w:r>
              <w:rPr>
                <w:rFonts w:hint="eastAsia"/>
              </w:rPr>
              <w:t>未完成原因分析及改进 措施：说明偏离目标、不能完成目标的原因及改进措施</w:t>
            </w:r>
            <w:r>
              <w:t>.3.</w:t>
            </w:r>
            <w:r>
              <w:rPr>
                <w:rFonts w:hint="eastAsia"/>
              </w:rPr>
              <w:t>定性指标根据指标完成情况分为达成预期指标、部分达成预期指标并具有一定效果、未达成 预期指标且效果较差三档，分别按照该指标对应分值区间</w:t>
            </w:r>
            <w:r>
              <w:t>100%-80% (</w:t>
            </w:r>
            <w:r>
              <w:rPr>
                <w:rFonts w:hint="eastAsia"/>
              </w:rPr>
              <w:t>含</w:t>
            </w:r>
            <w:r>
              <w:t>)</w:t>
            </w:r>
            <w:r>
              <w:rPr>
                <w:rFonts w:hint="eastAsia"/>
              </w:rPr>
              <w:t>、</w:t>
            </w:r>
            <w:r>
              <w:t>80%-60% (</w:t>
            </w:r>
            <w:r>
              <w:rPr>
                <w:rFonts w:hint="eastAsia"/>
              </w:rPr>
              <w:t>含）、</w:t>
            </w:r>
            <w:r>
              <w:t>60%-0%</w:t>
            </w:r>
            <w:r>
              <w:rPr>
                <w:rFonts w:hint="eastAsia"/>
              </w:rPr>
              <w:t>合理确定分值</w:t>
            </w:r>
            <w:r>
              <w:t>.</w:t>
            </w:r>
            <w:r>
              <w:rPr>
                <w:rFonts w:hint="eastAsia"/>
              </w:rPr>
              <w:t>定量指标完成指标值的，记该指标所赋全部分值，未完成的，按照完成值与指标值的比例计分</w:t>
            </w:r>
          </w:p>
        </w:tc>
      </w:tr>
    </w:tbl>
    <w:p>
      <w:pPr>
        <w:pStyle w:val="18"/>
        <w:ind w:firstLine="0" w:firstLineChars="0"/>
        <w:rPr>
          <w:rFonts w:hint="default"/>
        </w:rPr>
      </w:pPr>
    </w:p>
    <w:sectPr>
      <w:pgSz w:w="16838" w:h="11906" w:orient="landscape"/>
      <w:pgMar w:top="1800" w:right="1440" w:bottom="1800" w:left="144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432">
      <wne:acd wne:acdName="acd0"/>
    </wne:keymap>
    <wne:keymap wne:kcmPrimary="0433">
      <wne:acd wne:acdName="acd1"/>
    </wne:keymap>
    <wne:keymap wne:kcmPrimary="0435">
      <wne:acd wne:acdName="acd2"/>
    </wne:keymap>
    <wne:keymap wne:kcmPrimary="0436">
      <wne:acd wne:acdName="acd3"/>
    </wne:keymap>
  </wne:keymaps>
  <wne:acds>
    <wne:acd wne:argValue="AQAAAAIA" wne:acdName="acd0" wne:fciIndexBasedOn="0065"/>
    <wne:acd wne:argValue="AQAAAAMA" wne:acdName="acd1" wne:fciIndexBasedOn="0065"/>
    <wne:acd wne:argValue="AgBoiDxo" wne:acdName="acd2" wne:fciIndexBasedOn="0065"/>
    <wne:acd wne:argValue="AgAtZkNRY2uHZQ=="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joinstyle="miter"/>
          <v:imagedata o:title=""/>
          <o:lock v:ext="edit"/>
          <v:textbox inset="0mm,0mm,0mm,0mm" style="mso-fit-shape-to-text:t;">
            <w:txbxContent>
              <w:p>
                <w:pPr>
                  <w:pStyle w:val="7"/>
                </w:pPr>
                <w:r>
                  <w:fldChar w:fldCharType="begin"/>
                </w:r>
                <w:r>
                  <w:instrText xml:space="preserve"> PAGE  \* MERGEFORMAT </w:instrText>
                </w:r>
                <w:r>
                  <w:fldChar w:fldCharType="separate"/>
                </w:r>
                <w:r>
                  <w:t>I</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640"/>
      <w:rPr>
        <w:rFonts w:hint="default"/>
      </w:rPr>
    </w:pPr>
    <w:r>
      <w:rPr>
        <w:rFonts w:hint="default"/>
      </w:rPr>
      <w:pict>
        <v:shape id="_x0000_s1027" o:spid="_x0000_s1027"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path/>
          <v:fill on="f" focussize="0,0"/>
          <v:stroke on="f" weight="0.5pt" joinstyle="miter"/>
          <v:imagedata o:title=""/>
          <o:lock v:ext="edit"/>
          <v:textbox inset="0mm,0mm,0mm,0mm" style="mso-fit-shape-to-text:t;">
            <w:txbxContent>
              <w:p>
                <w:pPr>
                  <w:pStyle w:val="7"/>
                </w:pPr>
                <w:r>
                  <w:t xml:space="preserve">— </w:t>
                </w:r>
                <w:r>
                  <w:fldChar w:fldCharType="begin"/>
                </w:r>
                <w:r>
                  <w:instrText xml:space="preserve"> PAGE  \* MERGEFORMAT </w:instrText>
                </w:r>
                <w:r>
                  <w:fldChar w:fldCharType="separate"/>
                </w:r>
                <w:r>
                  <w:t>13</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320"/>
  <w:drawingGridVerticalSpacing w:val="156"/>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IyNTgzZGE3MjU2MTI4MGZlZDIxMTFjNDhlYTIwZmYifQ=="/>
  </w:docVars>
  <w:rsids>
    <w:rsidRoot w:val="00172A27"/>
    <w:rsid w:val="000630C3"/>
    <w:rsid w:val="000D7D77"/>
    <w:rsid w:val="000E7069"/>
    <w:rsid w:val="000F60ED"/>
    <w:rsid w:val="00172A27"/>
    <w:rsid w:val="001B3BF5"/>
    <w:rsid w:val="001E491E"/>
    <w:rsid w:val="0024545F"/>
    <w:rsid w:val="00264262"/>
    <w:rsid w:val="00282242"/>
    <w:rsid w:val="002A01C5"/>
    <w:rsid w:val="00411AF6"/>
    <w:rsid w:val="00515404"/>
    <w:rsid w:val="0055721E"/>
    <w:rsid w:val="005C2600"/>
    <w:rsid w:val="005C6C29"/>
    <w:rsid w:val="005E24D7"/>
    <w:rsid w:val="00606ACD"/>
    <w:rsid w:val="006225BA"/>
    <w:rsid w:val="0062600B"/>
    <w:rsid w:val="006958B4"/>
    <w:rsid w:val="006C4ACB"/>
    <w:rsid w:val="00793F5C"/>
    <w:rsid w:val="007B4966"/>
    <w:rsid w:val="00870BA1"/>
    <w:rsid w:val="00873618"/>
    <w:rsid w:val="00894645"/>
    <w:rsid w:val="0094624F"/>
    <w:rsid w:val="00975797"/>
    <w:rsid w:val="00A929DB"/>
    <w:rsid w:val="00BB275D"/>
    <w:rsid w:val="00C376D1"/>
    <w:rsid w:val="00C719E3"/>
    <w:rsid w:val="00C843BC"/>
    <w:rsid w:val="00CA77D0"/>
    <w:rsid w:val="00D403CC"/>
    <w:rsid w:val="00E3629D"/>
    <w:rsid w:val="00E54C27"/>
    <w:rsid w:val="00E604B4"/>
    <w:rsid w:val="00F85BBB"/>
    <w:rsid w:val="00FB1E39"/>
    <w:rsid w:val="022D2CB9"/>
    <w:rsid w:val="0232724F"/>
    <w:rsid w:val="03687896"/>
    <w:rsid w:val="03CF39B3"/>
    <w:rsid w:val="03E3527A"/>
    <w:rsid w:val="04770117"/>
    <w:rsid w:val="049E548E"/>
    <w:rsid w:val="04F35A41"/>
    <w:rsid w:val="05310285"/>
    <w:rsid w:val="06022C39"/>
    <w:rsid w:val="0612781D"/>
    <w:rsid w:val="067D4911"/>
    <w:rsid w:val="06CD2CAD"/>
    <w:rsid w:val="06D44DB6"/>
    <w:rsid w:val="073C001E"/>
    <w:rsid w:val="073C7E19"/>
    <w:rsid w:val="07BB51B4"/>
    <w:rsid w:val="07EC720E"/>
    <w:rsid w:val="08976DB6"/>
    <w:rsid w:val="09517008"/>
    <w:rsid w:val="09FC6C3A"/>
    <w:rsid w:val="0BA212E3"/>
    <w:rsid w:val="0BAD4CE3"/>
    <w:rsid w:val="0BC67F78"/>
    <w:rsid w:val="0C2B3B54"/>
    <w:rsid w:val="0CAE231F"/>
    <w:rsid w:val="0D08223B"/>
    <w:rsid w:val="0DAC117D"/>
    <w:rsid w:val="0DC63D28"/>
    <w:rsid w:val="0EF760A8"/>
    <w:rsid w:val="0F0A5349"/>
    <w:rsid w:val="101957F6"/>
    <w:rsid w:val="10403E70"/>
    <w:rsid w:val="10EC315B"/>
    <w:rsid w:val="11D94FBF"/>
    <w:rsid w:val="11DF7AA5"/>
    <w:rsid w:val="121E4775"/>
    <w:rsid w:val="12DE5A76"/>
    <w:rsid w:val="13C60661"/>
    <w:rsid w:val="143049A4"/>
    <w:rsid w:val="15483D18"/>
    <w:rsid w:val="15BD3FB0"/>
    <w:rsid w:val="15C00483"/>
    <w:rsid w:val="16A86570"/>
    <w:rsid w:val="17AF67A6"/>
    <w:rsid w:val="18074165"/>
    <w:rsid w:val="18266CA5"/>
    <w:rsid w:val="186944EF"/>
    <w:rsid w:val="189517F8"/>
    <w:rsid w:val="18A74F75"/>
    <w:rsid w:val="196138D2"/>
    <w:rsid w:val="19953697"/>
    <w:rsid w:val="19DD5DE3"/>
    <w:rsid w:val="1AC22DCD"/>
    <w:rsid w:val="1B7911A5"/>
    <w:rsid w:val="1B7F3CD0"/>
    <w:rsid w:val="1B8B0E1E"/>
    <w:rsid w:val="1BFD0F60"/>
    <w:rsid w:val="1C4D0C19"/>
    <w:rsid w:val="1CDB049A"/>
    <w:rsid w:val="1D47313A"/>
    <w:rsid w:val="1E7C7AF5"/>
    <w:rsid w:val="1EF72516"/>
    <w:rsid w:val="1F6E60BF"/>
    <w:rsid w:val="1FFB2D1C"/>
    <w:rsid w:val="212C46B1"/>
    <w:rsid w:val="21AE2E31"/>
    <w:rsid w:val="21DC4500"/>
    <w:rsid w:val="21ED3453"/>
    <w:rsid w:val="22715B15"/>
    <w:rsid w:val="22E75CB2"/>
    <w:rsid w:val="23AC70BE"/>
    <w:rsid w:val="25795502"/>
    <w:rsid w:val="274970C1"/>
    <w:rsid w:val="28382B82"/>
    <w:rsid w:val="288C42DB"/>
    <w:rsid w:val="2B147896"/>
    <w:rsid w:val="2B25139B"/>
    <w:rsid w:val="2CF66F3B"/>
    <w:rsid w:val="2E3B1D53"/>
    <w:rsid w:val="2FE87747"/>
    <w:rsid w:val="3088385B"/>
    <w:rsid w:val="30B9326C"/>
    <w:rsid w:val="3184492D"/>
    <w:rsid w:val="321160C7"/>
    <w:rsid w:val="3229411A"/>
    <w:rsid w:val="335509C7"/>
    <w:rsid w:val="3384464E"/>
    <w:rsid w:val="352A0F17"/>
    <w:rsid w:val="35323F4D"/>
    <w:rsid w:val="362F5208"/>
    <w:rsid w:val="364D7507"/>
    <w:rsid w:val="36853699"/>
    <w:rsid w:val="373077D8"/>
    <w:rsid w:val="37C379D9"/>
    <w:rsid w:val="383E476D"/>
    <w:rsid w:val="3902565F"/>
    <w:rsid w:val="39504F05"/>
    <w:rsid w:val="39694146"/>
    <w:rsid w:val="3B8E0BEC"/>
    <w:rsid w:val="3C1259C9"/>
    <w:rsid w:val="3D162FD9"/>
    <w:rsid w:val="3D606B02"/>
    <w:rsid w:val="3DB053D5"/>
    <w:rsid w:val="3DBB4886"/>
    <w:rsid w:val="3DEA26E4"/>
    <w:rsid w:val="3E673CA0"/>
    <w:rsid w:val="3E823CC7"/>
    <w:rsid w:val="3E873D85"/>
    <w:rsid w:val="3EE01EF4"/>
    <w:rsid w:val="3FA54A93"/>
    <w:rsid w:val="404D4025"/>
    <w:rsid w:val="40580367"/>
    <w:rsid w:val="41BA54AD"/>
    <w:rsid w:val="41DA5F81"/>
    <w:rsid w:val="42363025"/>
    <w:rsid w:val="426274DE"/>
    <w:rsid w:val="428271C8"/>
    <w:rsid w:val="439315CA"/>
    <w:rsid w:val="43EF7CB6"/>
    <w:rsid w:val="44141E00"/>
    <w:rsid w:val="45301858"/>
    <w:rsid w:val="459C49A4"/>
    <w:rsid w:val="45BC5666"/>
    <w:rsid w:val="45DB5816"/>
    <w:rsid w:val="467F19D6"/>
    <w:rsid w:val="47237B65"/>
    <w:rsid w:val="475B0959"/>
    <w:rsid w:val="47AC6349"/>
    <w:rsid w:val="47B41DDF"/>
    <w:rsid w:val="48316427"/>
    <w:rsid w:val="483A53BF"/>
    <w:rsid w:val="492B5C25"/>
    <w:rsid w:val="4A257AB1"/>
    <w:rsid w:val="4A5C7F26"/>
    <w:rsid w:val="4AFF07C1"/>
    <w:rsid w:val="4BFE14BA"/>
    <w:rsid w:val="4C56272E"/>
    <w:rsid w:val="4C932469"/>
    <w:rsid w:val="4D656886"/>
    <w:rsid w:val="4DFD218D"/>
    <w:rsid w:val="512F199A"/>
    <w:rsid w:val="521774C0"/>
    <w:rsid w:val="521C1547"/>
    <w:rsid w:val="523F7E77"/>
    <w:rsid w:val="54087C43"/>
    <w:rsid w:val="54151AB3"/>
    <w:rsid w:val="547C2982"/>
    <w:rsid w:val="553D7376"/>
    <w:rsid w:val="56002BDB"/>
    <w:rsid w:val="570730E6"/>
    <w:rsid w:val="57321E73"/>
    <w:rsid w:val="573D02BD"/>
    <w:rsid w:val="57D22477"/>
    <w:rsid w:val="58270281"/>
    <w:rsid w:val="58836238"/>
    <w:rsid w:val="589C20F9"/>
    <w:rsid w:val="58C3256A"/>
    <w:rsid w:val="58C80F7B"/>
    <w:rsid w:val="59964EC4"/>
    <w:rsid w:val="5A9D143D"/>
    <w:rsid w:val="5AAB12CD"/>
    <w:rsid w:val="5C5736B9"/>
    <w:rsid w:val="5C9E6E6F"/>
    <w:rsid w:val="5D960F43"/>
    <w:rsid w:val="5E370097"/>
    <w:rsid w:val="5ED12060"/>
    <w:rsid w:val="5EF73BE2"/>
    <w:rsid w:val="608A1152"/>
    <w:rsid w:val="609D521D"/>
    <w:rsid w:val="61382481"/>
    <w:rsid w:val="61BF196A"/>
    <w:rsid w:val="61F11689"/>
    <w:rsid w:val="62600656"/>
    <w:rsid w:val="62A44963"/>
    <w:rsid w:val="62EA2C49"/>
    <w:rsid w:val="631E05FA"/>
    <w:rsid w:val="63436BA2"/>
    <w:rsid w:val="65490021"/>
    <w:rsid w:val="65900A51"/>
    <w:rsid w:val="65FC37D4"/>
    <w:rsid w:val="665935D9"/>
    <w:rsid w:val="677A24B6"/>
    <w:rsid w:val="67A772C2"/>
    <w:rsid w:val="67DB46A3"/>
    <w:rsid w:val="68503E83"/>
    <w:rsid w:val="68781637"/>
    <w:rsid w:val="687A78F9"/>
    <w:rsid w:val="69124FDF"/>
    <w:rsid w:val="693448CF"/>
    <w:rsid w:val="6A043746"/>
    <w:rsid w:val="6A875334"/>
    <w:rsid w:val="6A884503"/>
    <w:rsid w:val="6AC5360B"/>
    <w:rsid w:val="6ADF0274"/>
    <w:rsid w:val="6AFC6911"/>
    <w:rsid w:val="6B1B61E1"/>
    <w:rsid w:val="6B4704BC"/>
    <w:rsid w:val="6BC85164"/>
    <w:rsid w:val="6BFB6BCB"/>
    <w:rsid w:val="6C2434AD"/>
    <w:rsid w:val="6E0B664E"/>
    <w:rsid w:val="6F46035D"/>
    <w:rsid w:val="6F472C16"/>
    <w:rsid w:val="705961BD"/>
    <w:rsid w:val="718805D0"/>
    <w:rsid w:val="719529E0"/>
    <w:rsid w:val="72CC0D0F"/>
    <w:rsid w:val="73C72D5A"/>
    <w:rsid w:val="748701B2"/>
    <w:rsid w:val="74ED7A64"/>
    <w:rsid w:val="74F22980"/>
    <w:rsid w:val="754822C9"/>
    <w:rsid w:val="760D385C"/>
    <w:rsid w:val="773D4564"/>
    <w:rsid w:val="77C57565"/>
    <w:rsid w:val="78022096"/>
    <w:rsid w:val="7811649A"/>
    <w:rsid w:val="78197969"/>
    <w:rsid w:val="78B6314A"/>
    <w:rsid w:val="79E41632"/>
    <w:rsid w:val="7A620D4B"/>
    <w:rsid w:val="7AA11E6E"/>
    <w:rsid w:val="7B56706E"/>
    <w:rsid w:val="7B733601"/>
    <w:rsid w:val="7C9E683A"/>
    <w:rsid w:val="7D2726CD"/>
    <w:rsid w:val="7D347EF8"/>
    <w:rsid w:val="7EBE117D"/>
    <w:rsid w:val="7EC22AF7"/>
    <w:rsid w:val="7FED28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961" w:firstLineChars="200"/>
      <w:jc w:val="both"/>
    </w:pPr>
    <w:rPr>
      <w:rFonts w:ascii="Times New Roman" w:hAnsi="Times New Roman" w:eastAsia="仿宋" w:cstheme="minorBidi"/>
      <w:kern w:val="2"/>
      <w:sz w:val="32"/>
      <w:szCs w:val="24"/>
      <w:lang w:val="en-US" w:eastAsia="zh-CN" w:bidi="ar-SA"/>
    </w:rPr>
  </w:style>
  <w:style w:type="paragraph" w:styleId="3">
    <w:name w:val="heading 1"/>
    <w:basedOn w:val="1"/>
    <w:next w:val="1"/>
    <w:qFormat/>
    <w:uiPriority w:val="0"/>
    <w:pPr>
      <w:keepNext/>
      <w:keepLines/>
      <w:adjustRightInd w:val="0"/>
      <w:snapToGrid w:val="0"/>
      <w:ind w:firstLine="0" w:firstLineChars="0"/>
      <w:jc w:val="left"/>
      <w:outlineLvl w:val="0"/>
    </w:pPr>
    <w:rPr>
      <w:rFonts w:ascii="黑体" w:hAnsi="黑体" w:eastAsia="黑体"/>
      <w:b/>
      <w:bCs/>
      <w:kern w:val="44"/>
      <w:szCs w:val="32"/>
    </w:rPr>
  </w:style>
  <w:style w:type="paragraph" w:styleId="4">
    <w:name w:val="heading 2"/>
    <w:basedOn w:val="1"/>
    <w:next w:val="1"/>
    <w:link w:val="16"/>
    <w:unhideWhenUsed/>
    <w:qFormat/>
    <w:uiPriority w:val="0"/>
    <w:pPr>
      <w:keepNext/>
      <w:keepLines/>
      <w:adjustRightInd w:val="0"/>
      <w:snapToGrid w:val="0"/>
      <w:ind w:firstLine="0" w:firstLineChars="0"/>
      <w:outlineLvl w:val="1"/>
    </w:pPr>
    <w:rPr>
      <w:rFonts w:ascii="楷体" w:hAnsi="楷体" w:eastAsia="楷体" w:cs="Times New Roman"/>
      <w:b/>
      <w:bCs/>
      <w:szCs w:val="32"/>
    </w:rPr>
  </w:style>
  <w:style w:type="paragraph" w:styleId="5">
    <w:name w:val="heading 3"/>
    <w:basedOn w:val="1"/>
    <w:next w:val="1"/>
    <w:unhideWhenUsed/>
    <w:qFormat/>
    <w:uiPriority w:val="0"/>
    <w:pPr>
      <w:keepNext/>
      <w:keepLines/>
      <w:adjustRightInd w:val="0"/>
      <w:snapToGrid w:val="0"/>
      <w:ind w:firstLine="560"/>
      <w:outlineLvl w:val="2"/>
    </w:pPr>
    <w:rPr>
      <w:rFonts w:ascii="仿宋" w:hAnsi="仿宋" w:cs="Times New Roman"/>
      <w:b/>
      <w:bCs/>
      <w:szCs w:val="32"/>
    </w:rPr>
  </w:style>
  <w:style w:type="paragraph" w:styleId="6">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7">
    <w:name w:val="footer"/>
    <w:basedOn w:val="1"/>
    <w:qFormat/>
    <w:uiPriority w:val="0"/>
    <w:pPr>
      <w:tabs>
        <w:tab w:val="center" w:pos="4153"/>
        <w:tab w:val="right" w:pos="8306"/>
      </w:tabs>
      <w:adjustRightInd w:val="0"/>
      <w:snapToGrid w:val="0"/>
      <w:spacing w:line="240" w:lineRule="auto"/>
      <w:ind w:firstLine="0" w:firstLineChars="0"/>
      <w:jc w:val="left"/>
    </w:pPr>
    <w:rPr>
      <w:sz w:val="24"/>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toc 1"/>
    <w:basedOn w:val="1"/>
    <w:next w:val="1"/>
    <w:qFormat/>
    <w:uiPriority w:val="0"/>
    <w:pPr>
      <w:adjustRightInd w:val="0"/>
      <w:snapToGrid w:val="0"/>
      <w:ind w:firstLine="0" w:firstLineChars="0"/>
    </w:pPr>
  </w:style>
  <w:style w:type="paragraph" w:styleId="10">
    <w:name w:val="toc 2"/>
    <w:basedOn w:val="1"/>
    <w:next w:val="1"/>
    <w:qFormat/>
    <w:uiPriority w:val="0"/>
    <w:pPr>
      <w:ind w:left="420" w:leftChars="200" w:firstLine="0" w:firstLineChars="0"/>
    </w:p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表格"/>
    <w:basedOn w:val="1"/>
    <w:next w:val="1"/>
    <w:qFormat/>
    <w:uiPriority w:val="0"/>
    <w:pPr>
      <w:adjustRightInd w:val="0"/>
      <w:snapToGrid w:val="0"/>
      <w:spacing w:line="240" w:lineRule="auto"/>
      <w:ind w:firstLine="0" w:firstLineChars="0"/>
      <w:jc w:val="center"/>
    </w:pPr>
    <w:rPr>
      <w:sz w:val="24"/>
    </w:rPr>
  </w:style>
  <w:style w:type="paragraph" w:customStyle="1" w:styleId="15">
    <w:name w:val="表头"/>
    <w:basedOn w:val="1"/>
    <w:next w:val="1"/>
    <w:qFormat/>
    <w:uiPriority w:val="0"/>
    <w:pPr>
      <w:ind w:firstLine="0" w:firstLineChars="0"/>
      <w:jc w:val="center"/>
    </w:pPr>
  </w:style>
  <w:style w:type="character" w:customStyle="1" w:styleId="16">
    <w:name w:val="标题 2 Char"/>
    <w:link w:val="4"/>
    <w:qFormat/>
    <w:uiPriority w:val="9"/>
    <w:rPr>
      <w:rFonts w:ascii="楷体" w:hAnsi="楷体" w:eastAsia="楷体" w:cs="Times New Roman"/>
      <w:b/>
      <w:bCs/>
      <w:sz w:val="32"/>
      <w:szCs w:val="32"/>
    </w:rPr>
  </w:style>
  <w:style w:type="paragraph" w:customStyle="1" w:styleId="17">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昭元正文"/>
    <w:basedOn w:val="1"/>
    <w:qFormat/>
    <w:uiPriority w:val="0"/>
    <w:pPr>
      <w:adjustRightInd w:val="0"/>
      <w:snapToGrid w:val="0"/>
      <w:ind w:firstLine="964"/>
      <w:jc w:val="left"/>
    </w:pPr>
    <w:rPr>
      <w:rFonts w:hint="eastAsia" w:ascii="宋体" w:hAnsi="宋体" w:cs="Times New Roman"/>
      <w:szCs w:val="32"/>
    </w:rPr>
  </w:style>
  <w:style w:type="paragraph" w:customStyle="1" w:styleId="19">
    <w:name w:val="模板由"/>
    <w:basedOn w:val="1"/>
    <w:qFormat/>
    <w:uiPriority w:val="0"/>
    <w:pPr>
      <w:adjustRightInd w:val="0"/>
      <w:snapToGrid w:val="0"/>
      <w:ind w:firstLine="964"/>
      <w:jc w:val="left"/>
    </w:pPr>
    <w:rPr>
      <w:rFonts w:hint="eastAsia" w:ascii="宋体" w:hAnsi="宋体" w:cs="Times New Roman"/>
      <w:szCs w:val="32"/>
    </w:rPr>
  </w:style>
  <w:style w:type="paragraph" w:customStyle="1" w:styleId="20">
    <w:name w:val="昭元绩效"/>
    <w:basedOn w:val="1"/>
    <w:qFormat/>
    <w:uiPriority w:val="0"/>
    <w:pPr>
      <w:adjustRightInd w:val="0"/>
      <w:snapToGrid w:val="0"/>
      <w:ind w:firstLine="964"/>
      <w:jc w:val="left"/>
    </w:pPr>
    <w:rPr>
      <w:rFonts w:hint="eastAsia" w:ascii="宋体" w:hAnsi="宋体" w:cs="Times New Roman"/>
      <w:szCs w:val="32"/>
    </w:rPr>
  </w:style>
  <w:style w:type="paragraph" w:customStyle="1" w:styleId="21">
    <w:name w:val="提供"/>
    <w:basedOn w:val="1"/>
    <w:qFormat/>
    <w:uiPriority w:val="0"/>
    <w:pPr>
      <w:adjustRightInd w:val="0"/>
      <w:snapToGrid w:val="0"/>
      <w:ind w:firstLine="964"/>
      <w:jc w:val="left"/>
    </w:pPr>
    <w:rPr>
      <w:rFonts w:hint="eastAsia" w:ascii="宋体" w:hAnsi="宋体" w:cs="Times New Roman"/>
      <w:szCs w:val="32"/>
    </w:rPr>
  </w:style>
  <w:style w:type="paragraph" w:customStyle="1" w:styleId="22">
    <w:name w:val="版权所有"/>
    <w:basedOn w:val="1"/>
    <w:qFormat/>
    <w:uiPriority w:val="0"/>
    <w:pPr>
      <w:adjustRightInd w:val="0"/>
      <w:snapToGrid w:val="0"/>
      <w:ind w:firstLine="964"/>
      <w:jc w:val="left"/>
    </w:pPr>
    <w:rPr>
      <w:rFonts w:hint="eastAsia" w:ascii="宋体" w:hAnsi="宋体" w:cs="Times New Roman"/>
      <w:szCs w:val="32"/>
    </w:rPr>
  </w:style>
  <w:style w:type="paragraph" w:customStyle="1" w:styleId="23">
    <w:name w:val="15515993457"/>
    <w:basedOn w:val="1"/>
    <w:qFormat/>
    <w:uiPriority w:val="0"/>
    <w:pPr>
      <w:adjustRightInd w:val="0"/>
      <w:snapToGrid w:val="0"/>
      <w:ind w:firstLine="964"/>
      <w:jc w:val="left"/>
    </w:pPr>
    <w:rPr>
      <w:rFonts w:hint="eastAsia" w:ascii="宋体" w:hAnsi="宋体" w:cs="Times New Roman"/>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microsoft.com/office/2006/relationships/keyMapCustomizations" Target="customizations.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8761</Words>
  <Characters>9462</Characters>
  <Lines>82</Lines>
  <Paragraphs>23</Paragraphs>
  <TotalTime>22</TotalTime>
  <ScaleCrop>false</ScaleCrop>
  <LinksUpToDate>false</LinksUpToDate>
  <CharactersWithSpaces>9530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2022-08-15T03:05:00Z</dcterms:created>
  <dc:creator>Administrator</dc:creator>
  <cp:lastModifiedBy>璞灵</cp:lastModifiedBy>
  <dcterms:modified xsi:type="dcterms:W3CDTF">2022-08-25T10:39:22Z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A4CC237F23624894911C93E1E76C05A9</vt:lpwstr>
  </property>
</Properties>
</file>