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0"/>
      </w:pPr>
      <w:bookmarkStart w:id="0" w:name="_Toc11908"/>
    </w:p>
    <w:p>
      <w:pPr>
        <w:ind w:firstLine="0" w:firstLineChars="0"/>
        <w:jc w:val="center"/>
        <w:rPr>
          <w:rFonts w:ascii="宋体" w:hAnsi="宋体" w:eastAsia="宋体"/>
          <w:b/>
          <w:sz w:val="52"/>
          <w:szCs w:val="52"/>
        </w:rPr>
      </w:pPr>
    </w:p>
    <w:p>
      <w:pPr>
        <w:pStyle w:val="28"/>
        <w:rPr>
          <w:rFonts w:hint="eastAsia" w:ascii="宋体" w:hAnsi="宋体" w:cs="宋体"/>
          <w:sz w:val="52"/>
          <w:szCs w:val="52"/>
          <w:lang w:eastAsia="zh-CN"/>
        </w:rPr>
      </w:pPr>
      <w:r>
        <w:rPr>
          <w:rFonts w:hint="eastAsia" w:ascii="宋体" w:hAnsi="宋体" w:cs="宋体"/>
          <w:sz w:val="52"/>
          <w:szCs w:val="52"/>
          <w:lang w:eastAsia="zh-CN"/>
        </w:rPr>
        <w:t>太康县档案局</w:t>
      </w:r>
    </w:p>
    <w:p>
      <w:pPr>
        <w:pStyle w:val="28"/>
        <w:rPr>
          <w:rFonts w:hint="eastAsia" w:ascii="宋体" w:hAnsi="宋体" w:eastAsia="宋体" w:cs="宋体"/>
          <w:sz w:val="52"/>
          <w:szCs w:val="52"/>
          <w:lang w:val="en-US" w:eastAsia="zh-CN"/>
        </w:rPr>
      </w:pPr>
      <w:r>
        <w:rPr>
          <w:rFonts w:ascii="宋体" w:hAnsi="宋体" w:cs="宋体"/>
          <w:sz w:val="52"/>
          <w:szCs w:val="52"/>
        </w:rPr>
        <w:t>202</w:t>
      </w:r>
      <w:r>
        <w:rPr>
          <w:rFonts w:hint="eastAsia" w:ascii="宋体" w:hAnsi="宋体" w:cs="宋体"/>
          <w:sz w:val="52"/>
          <w:szCs w:val="52"/>
          <w:lang w:val="en-US" w:eastAsia="zh-CN"/>
        </w:rPr>
        <w:t>1</w:t>
      </w:r>
      <w:r>
        <w:rPr>
          <w:rFonts w:ascii="宋体" w:hAnsi="宋体" w:cs="宋体"/>
          <w:sz w:val="52"/>
          <w:szCs w:val="52"/>
        </w:rPr>
        <w:t>年度</w:t>
      </w:r>
      <w:r>
        <w:rPr>
          <w:rFonts w:hint="eastAsia" w:ascii="宋体" w:hAnsi="宋体" w:cs="宋体"/>
          <w:sz w:val="52"/>
          <w:szCs w:val="52"/>
          <w:lang w:eastAsia="zh-CN"/>
        </w:rPr>
        <w:t>档案装备购置经费</w:t>
      </w:r>
    </w:p>
    <w:p>
      <w:pPr>
        <w:pStyle w:val="28"/>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30"/>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both"/>
        <w:rPr>
          <w:rFonts w:hint="eastAsia" w:ascii="宋体" w:hAnsi="宋体" w:eastAsia="宋体" w:cstheme="minorBidi"/>
          <w:b/>
          <w:bCs/>
          <w:kern w:val="2"/>
          <w:sz w:val="44"/>
          <w:szCs w:val="44"/>
          <w:highlight w:val="none"/>
          <w:lang w:val="en-US" w:eastAsia="zh-CN" w:bidi="ar-SA"/>
        </w:rPr>
      </w:pPr>
    </w:p>
    <w:p>
      <w:pPr>
        <w:pStyle w:val="28"/>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自评单位：</w:t>
      </w:r>
      <w:r>
        <w:rPr>
          <w:rFonts w:hint="eastAsia" w:ascii="宋体" w:hAnsi="宋体" w:cstheme="minorBidi"/>
          <w:b/>
          <w:bCs/>
          <w:kern w:val="2"/>
          <w:sz w:val="44"/>
          <w:szCs w:val="44"/>
          <w:highlight w:val="none"/>
          <w:lang w:val="en-US" w:eastAsia="zh-CN" w:bidi="ar-SA"/>
        </w:rPr>
        <w:t>太康县档案局</w:t>
      </w:r>
    </w:p>
    <w:p>
      <w:pPr>
        <w:ind w:firstLine="1767" w:firstLineChars="400"/>
        <w:jc w:val="both"/>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日    期：2022年5月</w:t>
      </w:r>
    </w:p>
    <w:p>
      <w:pPr>
        <w:pStyle w:val="13"/>
        <w:rPr>
          <w:rFonts w:hint="eastAsia" w:ascii="宋体" w:hAnsi="宋体" w:eastAsia="宋体" w:cstheme="minorBidi"/>
          <w:b/>
          <w:bCs/>
          <w:kern w:val="2"/>
          <w:sz w:val="44"/>
          <w:szCs w:val="44"/>
          <w:highlight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3"/>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3"/>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4"/>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3</w:t>
      </w:r>
      <w:r>
        <w:fldChar w:fldCharType="end"/>
      </w:r>
      <w:r>
        <w:fldChar w:fldCharType="end"/>
      </w:r>
    </w:p>
    <w:p>
      <w:pPr>
        <w:pStyle w:val="13"/>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4"/>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4"/>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3"/>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7</w:t>
      </w:r>
      <w:r>
        <w:fldChar w:fldCharType="end"/>
      </w:r>
      <w:r>
        <w:fldChar w:fldCharType="end"/>
      </w:r>
    </w:p>
    <w:p>
      <w:pPr>
        <w:pStyle w:val="14"/>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7</w:t>
      </w:r>
      <w:r>
        <w:fldChar w:fldCharType="end"/>
      </w:r>
      <w:r>
        <w:fldChar w:fldCharType="end"/>
      </w:r>
    </w:p>
    <w:p>
      <w:pPr>
        <w:pStyle w:val="14"/>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7</w:t>
      </w:r>
      <w:r>
        <w:fldChar w:fldCharType="end"/>
      </w:r>
      <w:r>
        <w:fldChar w:fldCharType="end"/>
      </w:r>
    </w:p>
    <w:p>
      <w:pPr>
        <w:pStyle w:val="13"/>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"_Toc24402" </w:instrText>
      </w:r>
      <w:r>
        <w:fldChar w:fldCharType="separate"/>
      </w:r>
      <w:r>
        <w:rPr>
          <w:rFonts w:hint="eastAsia"/>
        </w:rPr>
        <w:t>（三）分析原因，提高效率</w:t>
      </w:r>
      <w:r>
        <w:tab/>
      </w:r>
      <w:r>
        <w:fldChar w:fldCharType="begin"/>
      </w:r>
      <w:r>
        <w:instrText xml:space="preserve"> PAGEREF _Toc24402 \h </w:instrText>
      </w:r>
      <w:r>
        <w:fldChar w:fldCharType="separate"/>
      </w:r>
      <w:r>
        <w:t>9</w:t>
      </w:r>
      <w:r>
        <w:fldChar w:fldCharType="end"/>
      </w:r>
      <w:r>
        <w:fldChar w:fldCharType="end"/>
      </w:r>
    </w:p>
    <w:p>
      <w:pPr>
        <w:pStyle w:val="13"/>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9</w:t>
      </w:r>
      <w:r>
        <w:fldChar w:fldCharType="end"/>
      </w:r>
      <w:r>
        <w:fldChar w:fldCharType="end"/>
      </w:r>
    </w:p>
    <w:p>
      <w:pPr>
        <w:pStyle w:val="13"/>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4"/>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10</w:t>
      </w:r>
      <w:r>
        <w:fldChar w:fldCharType="end"/>
      </w:r>
      <w:r>
        <w:fldChar w:fldCharType="end"/>
      </w:r>
    </w:p>
    <w:p>
      <w:pPr>
        <w:ind w:firstLine="640"/>
        <w:sectPr>
          <w:footerReference r:id="rId3"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5"/>
      </w:pPr>
      <w:bookmarkStart w:id="1" w:name="_Toc11574"/>
      <w:bookmarkStart w:id="2" w:name="_Toc79333430"/>
      <w:r>
        <w:rPr>
          <w:rFonts w:hint="eastAsia"/>
        </w:rPr>
        <w:t>一、项目基本情况</w:t>
      </w:r>
      <w:bookmarkEnd w:id="0"/>
      <w:bookmarkEnd w:id="1"/>
      <w:bookmarkEnd w:id="2"/>
    </w:p>
    <w:p>
      <w:pPr>
        <w:pStyle w:val="6"/>
      </w:pPr>
      <w:bookmarkStart w:id="3" w:name="_Toc8110"/>
      <w:bookmarkStart w:id="4" w:name="_Toc9575"/>
      <w:bookmarkStart w:id="5" w:name="_Toc79333431"/>
      <w:r>
        <w:rPr>
          <w:rFonts w:hint="eastAsia"/>
        </w:rPr>
        <w:t>（一）项目基本信息</w:t>
      </w:r>
      <w:bookmarkEnd w:id="3"/>
      <w:bookmarkEnd w:id="4"/>
      <w:bookmarkEnd w:id="5"/>
    </w:p>
    <w:p>
      <w:pPr>
        <w:pStyle w:val="7"/>
        <w:ind w:firstLine="643"/>
      </w:pPr>
      <w:bookmarkStart w:id="6" w:name="_Toc79333432"/>
      <w:r>
        <w:rPr>
          <w:rFonts w:hint="eastAsia"/>
        </w:rPr>
        <w:t>1、项目背景</w:t>
      </w:r>
      <w:bookmarkEnd w:id="6"/>
    </w:p>
    <w:p>
      <w:pPr>
        <w:ind w:firstLine="640"/>
        <w:rPr>
          <w:rFonts w:hint="eastAsia"/>
        </w:rPr>
      </w:pPr>
      <w:bookmarkStart w:id="7" w:name="_Toc79333433"/>
      <w:r>
        <w:rPr>
          <w:rFonts w:hint="eastAsia"/>
          <w:lang w:eastAsia="zh-CN"/>
        </w:rPr>
        <w:t>太康县综合档案馆新馆已于</w:t>
      </w:r>
      <w:r>
        <w:rPr>
          <w:rFonts w:hint="eastAsia"/>
          <w:lang w:val="en-US" w:eastAsia="zh-CN"/>
        </w:rPr>
        <w:t>2019年底建成，现有档案装备已无法满足馆藏需求，为适应现代化档案馆要求，确保馆藏档案安全，更好的服务于社会发展，需购置一批档案智能及手动密集架</w:t>
      </w:r>
      <w:r>
        <w:rPr>
          <w:rFonts w:hint="eastAsia"/>
        </w:rPr>
        <w:t>。</w:t>
      </w:r>
    </w:p>
    <w:p>
      <w:pPr>
        <w:pStyle w:val="7"/>
        <w:ind w:firstLine="643"/>
      </w:pPr>
      <w:r>
        <w:rPr>
          <w:rFonts w:hint="eastAsia"/>
        </w:rPr>
        <w:t>2、项目实施内容</w:t>
      </w:r>
      <w:bookmarkEnd w:id="7"/>
    </w:p>
    <w:p>
      <w:pPr>
        <w:ind w:firstLine="640" w:firstLineChars="200"/>
        <w:jc w:val="both"/>
        <w:rPr>
          <w:rFonts w:hint="eastAsia" w:asciiTheme="minorEastAsia" w:hAnsiTheme="minorEastAsia" w:eastAsiaTheme="minorEastAsia" w:cstheme="minorEastAsia"/>
          <w:b w:val="0"/>
          <w:bCs/>
          <w:i w:val="0"/>
          <w:caps w:val="0"/>
          <w:color w:val="333333"/>
          <w:spacing w:val="0"/>
          <w:sz w:val="28"/>
          <w:szCs w:val="28"/>
          <w:shd w:val="clear" w:fill="FFFFFF"/>
        </w:rPr>
      </w:pPr>
      <w:bookmarkStart w:id="8" w:name="_Toc79333434"/>
      <w:bookmarkStart w:id="9" w:name="_Toc17607"/>
      <w:bookmarkStart w:id="10" w:name="_Toc14372"/>
      <w:r>
        <w:rPr>
          <w:rFonts w:hint="eastAsia"/>
          <w:lang w:val="en-US" w:eastAsia="zh-CN"/>
        </w:rPr>
        <w:t>资金用于购置智能及手动档案密集架，以满足馆藏量需求及确保馆藏档案安全，发挥档案传承历史,服务社会的作用。</w:t>
      </w:r>
    </w:p>
    <w:p>
      <w:pPr>
        <w:ind w:firstLine="640"/>
        <w:rPr>
          <w:rFonts w:hint="eastAsia"/>
          <w:lang w:val="en-US" w:eastAsia="zh-CN"/>
        </w:rPr>
      </w:pPr>
    </w:p>
    <w:p>
      <w:pPr>
        <w:pStyle w:val="6"/>
      </w:pPr>
      <w:r>
        <w:rPr>
          <w:rFonts w:hint="eastAsia"/>
        </w:rPr>
        <w:t>（二）项目支出情况</w:t>
      </w:r>
      <w:bookmarkEnd w:id="8"/>
      <w:bookmarkEnd w:id="9"/>
      <w:bookmarkEnd w:id="10"/>
    </w:p>
    <w:p>
      <w:pPr>
        <w:pStyle w:val="7"/>
        <w:ind w:firstLine="643"/>
      </w:pPr>
      <w:bookmarkStart w:id="11" w:name="_Toc28118"/>
      <w:bookmarkStart w:id="12" w:name="_Toc79333435"/>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cs="仿宋"/>
          <w:sz w:val="32"/>
          <w:szCs w:val="32"/>
          <w:highlight w:val="none"/>
          <w:lang w:val="en-US" w:eastAsia="zh-CN"/>
        </w:rPr>
        <w:t>45.46万元</w:t>
      </w:r>
      <w:r>
        <w:rPr>
          <w:rFonts w:hint="eastAsia"/>
          <w:highlight w:val="none"/>
        </w:rPr>
        <w:t>，当年实际执行</w:t>
      </w:r>
      <w:r>
        <w:rPr>
          <w:rFonts w:hint="eastAsia"/>
          <w:highlight w:val="none"/>
          <w:lang w:val="en-US" w:eastAsia="zh-CN"/>
        </w:rPr>
        <w:t>45.46万元</w:t>
      </w:r>
      <w:r>
        <w:rPr>
          <w:rFonts w:hint="eastAsia"/>
          <w:highlight w:val="none"/>
          <w:lang w:eastAsia="zh-CN"/>
        </w:rPr>
        <w:t>，资金到位率</w:t>
      </w:r>
      <w:r>
        <w:rPr>
          <w:rFonts w:hint="eastAsia"/>
          <w:highlight w:val="none"/>
          <w:lang w:val="en-US" w:eastAsia="zh-CN"/>
        </w:rPr>
        <w:t>100%</w:t>
      </w:r>
      <w:r>
        <w:rPr>
          <w:rFonts w:hint="eastAsia"/>
          <w:highlight w:val="none"/>
        </w:rPr>
        <w:t>。</w:t>
      </w:r>
    </w:p>
    <w:p>
      <w:pPr>
        <w:pStyle w:val="7"/>
        <w:ind w:firstLine="643"/>
      </w:pPr>
      <w:bookmarkStart w:id="13" w:name="_Toc18098"/>
      <w:bookmarkStart w:id="14" w:name="_Toc79333436"/>
      <w:r>
        <w:rPr>
          <w:rFonts w:hint="eastAsia"/>
        </w:rPr>
        <w:t>2、项目预算执行情况</w:t>
      </w:r>
      <w:bookmarkEnd w:id="13"/>
      <w:bookmarkEnd w:id="14"/>
    </w:p>
    <w:p>
      <w:pPr>
        <w:ind w:firstLine="640"/>
        <w:jc w:val="left"/>
        <w:rPr>
          <w:highlight w:val="none"/>
        </w:rPr>
      </w:pPr>
      <w:r>
        <w:rPr>
          <w:rFonts w:hint="eastAsia"/>
          <w:highlight w:val="none"/>
          <w:lang w:eastAsia="zh-CN"/>
        </w:rPr>
        <w:t>本项目档案装备购置经费，资金已按照年初预算拨付</w:t>
      </w:r>
      <w:r>
        <w:rPr>
          <w:rFonts w:hint="eastAsia"/>
          <w:highlight w:val="none"/>
          <w:lang w:val="en-US" w:eastAsia="zh-CN"/>
        </w:rPr>
        <w:t>45.46万元，</w:t>
      </w:r>
      <w:r>
        <w:rPr>
          <w:rFonts w:hint="eastAsia"/>
          <w:highlight w:val="none"/>
        </w:rPr>
        <w:t>项目实际支出</w:t>
      </w:r>
      <w:r>
        <w:rPr>
          <w:rFonts w:hint="eastAsia" w:cs="仿宋"/>
          <w:sz w:val="32"/>
          <w:szCs w:val="32"/>
          <w:highlight w:val="none"/>
          <w:lang w:val="en-US" w:eastAsia="zh-CN"/>
        </w:rPr>
        <w:t>45.46万元</w:t>
      </w:r>
      <w:r>
        <w:rPr>
          <w:rFonts w:hint="eastAsia"/>
          <w:highlight w:val="none"/>
          <w:lang w:eastAsia="zh-CN"/>
        </w:rPr>
        <w:t>，资金执行率为</w:t>
      </w:r>
      <w:r>
        <w:rPr>
          <w:rFonts w:hint="eastAsia"/>
          <w:highlight w:val="none"/>
          <w:lang w:val="en-US" w:eastAsia="zh-CN"/>
        </w:rPr>
        <w:t>100%</w:t>
      </w:r>
      <w:r>
        <w:rPr>
          <w:rFonts w:hint="eastAsia"/>
          <w:highlight w:val="none"/>
        </w:rPr>
        <w:t>。</w:t>
      </w:r>
    </w:p>
    <w:p>
      <w:pPr>
        <w:pStyle w:val="5"/>
      </w:pPr>
      <w:bookmarkStart w:id="15" w:name="_Toc75871361"/>
      <w:bookmarkStart w:id="16" w:name="_Toc10420"/>
      <w:bookmarkStart w:id="17" w:name="_Toc79333437"/>
      <w:bookmarkStart w:id="18" w:name="_Toc1209"/>
      <w:r>
        <w:rPr>
          <w:rFonts w:hint="eastAsia"/>
        </w:rPr>
        <w:t>二、绩效自评工作开展情况</w:t>
      </w:r>
      <w:bookmarkEnd w:id="15"/>
      <w:bookmarkEnd w:id="16"/>
      <w:bookmarkEnd w:id="17"/>
      <w:bookmarkEnd w:id="18"/>
    </w:p>
    <w:p>
      <w:pPr>
        <w:pStyle w:val="6"/>
      </w:pPr>
      <w:bookmarkStart w:id="19" w:name="_Toc2270"/>
      <w:bookmarkStart w:id="20" w:name="_Toc75871362"/>
      <w:bookmarkStart w:id="21" w:name="_Toc79333438"/>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6"/>
      </w:pPr>
      <w:bookmarkStart w:id="22" w:name="_Toc75871363"/>
      <w:bookmarkStart w:id="23" w:name="_Toc3060"/>
      <w:bookmarkStart w:id="24" w:name="_Toc79333439"/>
      <w:bookmarkStart w:id="25" w:name="_Toc5617"/>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highlight w:val="none"/>
          <w:lang w:eastAsia="zh-CN"/>
        </w:rPr>
        <w:t>档案装备购置</w:t>
      </w:r>
      <w:r>
        <w:rPr>
          <w:rFonts w:hint="eastAsia"/>
          <w:highlight w:val="none"/>
        </w:rPr>
        <w:t>专项资金，评价范围为涉及该项目管理及其预算资金</w:t>
      </w:r>
      <w:r>
        <w:rPr>
          <w:rFonts w:hint="eastAsia"/>
          <w:highlight w:val="none"/>
          <w:lang w:val="en-US" w:eastAsia="zh-CN"/>
        </w:rPr>
        <w:t>45.46万元</w:t>
      </w:r>
      <w:r>
        <w:rPr>
          <w:rFonts w:hint="eastAsia"/>
          <w:highlight w:val="none"/>
        </w:rPr>
        <w:t>的使用情况。</w:t>
      </w:r>
    </w:p>
    <w:p>
      <w:pPr>
        <w:pStyle w:val="6"/>
      </w:pPr>
      <w:bookmarkStart w:id="26" w:name="_Toc75871364"/>
      <w:bookmarkStart w:id="27" w:name="_Toc12774"/>
      <w:bookmarkStart w:id="28" w:name="_Toc79333440"/>
      <w:bookmarkStart w:id="29" w:name="_Toc8160"/>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6"/>
      </w:pPr>
      <w:bookmarkStart w:id="30" w:name="_Toc79333441"/>
      <w:bookmarkStart w:id="31" w:name="_Toc13521"/>
      <w:bookmarkStart w:id="32" w:name="_Toc9578"/>
      <w:bookmarkStart w:id="33" w:name="_Toc75871365"/>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6"/>
      </w:pPr>
      <w:bookmarkStart w:id="35" w:name="_Toc489"/>
      <w:bookmarkStart w:id="36" w:name="_Toc79333442"/>
      <w:bookmarkStart w:id="37" w:name="_Toc75871366"/>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5"/>
      </w:pPr>
      <w:bookmarkStart w:id="38" w:name="_Toc79333443"/>
      <w:bookmarkStart w:id="39" w:name="_Toc24506"/>
      <w:r>
        <w:rPr>
          <w:rFonts w:hint="eastAsia"/>
        </w:rPr>
        <w:t>三、绩效自评结果及分析</w:t>
      </w:r>
      <w:bookmarkEnd w:id="38"/>
      <w:bookmarkEnd w:id="39"/>
    </w:p>
    <w:p>
      <w:pPr>
        <w:pStyle w:val="6"/>
      </w:pPr>
      <w:bookmarkStart w:id="40" w:name="_Toc25356"/>
      <w:bookmarkStart w:id="41" w:name="_Toc4028"/>
      <w:bookmarkStart w:id="42" w:name="_Toc79333444"/>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w:t>
      </w:r>
      <w:r>
        <w:rPr>
          <w:rFonts w:hint="eastAsia"/>
        </w:rPr>
        <w:t>所示</w:t>
      </w:r>
    </w:p>
    <w:p>
      <w:pPr>
        <w:ind w:firstLine="640"/>
      </w:pPr>
    </w:p>
    <w:p>
      <w:pPr>
        <w:pStyle w:val="20"/>
        <w:ind w:firstLine="643"/>
        <w:rPr>
          <w:rFonts w:hint="eastAsia"/>
        </w:rPr>
      </w:pPr>
    </w:p>
    <w:p>
      <w:pPr>
        <w:pStyle w:val="20"/>
        <w:ind w:firstLine="643"/>
        <w:rPr>
          <w:rFonts w:hint="eastAsia"/>
        </w:rPr>
      </w:pPr>
    </w:p>
    <w:p>
      <w:pPr>
        <w:pStyle w:val="20"/>
        <w:ind w:firstLine="643"/>
        <w:rPr>
          <w:rFonts w:hint="eastAsia"/>
        </w:rPr>
      </w:pPr>
    </w:p>
    <w:p>
      <w:pPr>
        <w:pStyle w:val="20"/>
        <w:ind w:firstLine="643"/>
        <w:rPr>
          <w:rFonts w:hint="eastAsia"/>
        </w:rPr>
      </w:pPr>
    </w:p>
    <w:p>
      <w:pPr>
        <w:pStyle w:val="20"/>
        <w:ind w:firstLine="643"/>
        <w:rPr>
          <w:rFonts w:hint="eastAsia"/>
        </w:rPr>
      </w:pPr>
    </w:p>
    <w:p>
      <w:pPr>
        <w:pStyle w:val="20"/>
        <w:ind w:firstLine="643"/>
      </w:pPr>
      <w:r>
        <w:rPr>
          <w:rFonts w:hint="eastAsia"/>
        </w:rPr>
        <w:t>表3.1 绩效自评价得分表</w:t>
      </w:r>
    </w:p>
    <w:tbl>
      <w:tblPr>
        <w:tblStyle w:val="17"/>
        <w:tblW w:w="8444" w:type="dxa"/>
        <w:jc w:val="center"/>
        <w:tblInd w:w="0" w:type="dxa"/>
        <w:tblLayout w:type="fixed"/>
        <w:tblCellMar>
          <w:top w:w="0" w:type="dxa"/>
          <w:left w:w="108" w:type="dxa"/>
          <w:bottom w:w="0" w:type="dxa"/>
          <w:right w:w="108" w:type="dxa"/>
        </w:tblCellMar>
      </w:tblPr>
      <w:tblGrid>
        <w:gridCol w:w="1305"/>
        <w:gridCol w:w="1603"/>
        <w:gridCol w:w="2724"/>
        <w:gridCol w:w="1439"/>
        <w:gridCol w:w="1373"/>
      </w:tblGrid>
      <w:tr>
        <w:tblPrEx>
          <w:tblLayout w:type="fixed"/>
          <w:tblCellMar>
            <w:top w:w="0" w:type="dxa"/>
            <w:left w:w="108" w:type="dxa"/>
            <w:bottom w:w="0" w:type="dxa"/>
            <w:right w:w="108" w:type="dxa"/>
          </w:tblCellMar>
        </w:tblPrEx>
        <w:trPr>
          <w:trHeight w:val="567" w:hRule="atLeast"/>
          <w:tblHeader/>
          <w:jc w:val="center"/>
        </w:trPr>
        <w:tc>
          <w:tcPr>
            <w:tcW w:w="1305"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9"/>
            </w:pPr>
            <w:r>
              <w:rPr>
                <w:rFonts w:hint="eastAsia"/>
              </w:rPr>
              <w:t>一级指标</w:t>
            </w:r>
          </w:p>
        </w:tc>
        <w:tc>
          <w:tcPr>
            <w:tcW w:w="160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9"/>
            </w:pPr>
            <w:r>
              <w:rPr>
                <w:rFonts w:hint="eastAsia"/>
              </w:rPr>
              <w:t>二级指标</w:t>
            </w:r>
          </w:p>
        </w:tc>
        <w:tc>
          <w:tcPr>
            <w:tcW w:w="272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9"/>
            </w:pPr>
            <w:r>
              <w:rPr>
                <w:rFonts w:hint="eastAsia"/>
              </w:rPr>
              <w:t>三级指标</w:t>
            </w:r>
          </w:p>
        </w:tc>
        <w:tc>
          <w:tcPr>
            <w:tcW w:w="14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9"/>
            </w:pPr>
            <w:r>
              <w:rPr>
                <w:rFonts w:hint="eastAsia"/>
              </w:rPr>
              <w:t>标准分值</w:t>
            </w:r>
          </w:p>
        </w:tc>
        <w:tc>
          <w:tcPr>
            <w:tcW w:w="137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9"/>
            </w:pPr>
            <w:r>
              <w:rPr>
                <w:rFonts w:hint="eastAsia"/>
              </w:rPr>
              <w:t>实际得分</w:t>
            </w:r>
          </w:p>
        </w:tc>
      </w:tr>
      <w:tr>
        <w:tblPrEx>
          <w:tblLayout w:type="fixed"/>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rPr>
                <w:highlight w:val="none"/>
              </w:rPr>
            </w:pPr>
            <w:r>
              <w:rPr>
                <w:rFonts w:hint="eastAsia"/>
                <w:highlight w:val="none"/>
              </w:rPr>
              <w:t>预算执行</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9"/>
              <w:rPr>
                <w:highlight w:val="none"/>
              </w:rPr>
            </w:pPr>
            <w:r>
              <w:rPr>
                <w:rFonts w:hint="eastAsia"/>
                <w:highlight w:val="none"/>
              </w:rPr>
              <w:t>预算执行率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9"/>
              <w:rPr>
                <w:highlight w:val="none"/>
              </w:rPr>
            </w:pPr>
            <w:r>
              <w:rPr>
                <w:rFonts w:hint="eastAsia"/>
                <w:highlight w:val="none"/>
              </w:rPr>
              <w:t>预算执行率</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restart"/>
            <w:tcBorders>
              <w:left w:val="single" w:color="auto" w:sz="4" w:space="0"/>
              <w:right w:val="single" w:color="auto" w:sz="4" w:space="0"/>
            </w:tcBorders>
            <w:vAlign w:val="center"/>
          </w:tcPr>
          <w:p>
            <w:pPr>
              <w:pStyle w:val="19"/>
              <w:rPr>
                <w:rFonts w:hint="eastAsia"/>
                <w:highlight w:val="none"/>
              </w:rPr>
            </w:pPr>
          </w:p>
          <w:p>
            <w:pPr>
              <w:pStyle w:val="19"/>
              <w:rPr>
                <w:rFonts w:hint="eastAsia"/>
                <w:highlight w:val="none"/>
              </w:rPr>
            </w:pPr>
          </w:p>
          <w:p>
            <w:pPr>
              <w:pStyle w:val="19"/>
              <w:rPr>
                <w:rFonts w:hint="eastAsia"/>
                <w:highlight w:val="none"/>
              </w:rPr>
            </w:pPr>
          </w:p>
          <w:p>
            <w:pPr>
              <w:pStyle w:val="19"/>
              <w:rPr>
                <w:rFonts w:hint="eastAsia"/>
                <w:highlight w:val="none"/>
              </w:rPr>
            </w:pPr>
          </w:p>
          <w:p>
            <w:pPr>
              <w:pStyle w:val="19"/>
              <w:rPr>
                <w:rFonts w:hint="eastAsia"/>
                <w:highlight w:val="none"/>
              </w:rPr>
            </w:pPr>
          </w:p>
          <w:p>
            <w:pPr>
              <w:pStyle w:val="19"/>
              <w:rPr>
                <w:highlight w:val="none"/>
              </w:rPr>
            </w:pPr>
            <w:r>
              <w:rPr>
                <w:sz w:val="24"/>
                <w:highlight w:val="none"/>
              </w:rPr>
              <mc:AlternateContent>
                <mc:Choice Requires="wps">
                  <w:drawing>
                    <wp:anchor distT="0" distB="0" distL="114300" distR="114300" simplePos="0" relativeHeight="251658240" behindDoc="0" locked="0" layoutInCell="1" allowOverlap="1">
                      <wp:simplePos x="0" y="0"/>
                      <wp:positionH relativeFrom="column">
                        <wp:posOffset>-62230</wp:posOffset>
                      </wp:positionH>
                      <wp:positionV relativeFrom="paragraph">
                        <wp:posOffset>1438275</wp:posOffset>
                      </wp:positionV>
                      <wp:extent cx="897255" cy="7620"/>
                      <wp:effectExtent l="0" t="0" r="0" b="0"/>
                      <wp:wrapNone/>
                      <wp:docPr id="4" name="直接连接符 4"/>
                      <wp:cNvGraphicFramePr/>
                      <a:graphic xmlns:a="http://schemas.openxmlformats.org/drawingml/2006/main">
                        <a:graphicData uri="http://schemas.microsoft.com/office/word/2010/wordprocessingShape">
                          <wps:wsp>
                            <wps:cNvCnPr/>
                            <wps:spPr>
                              <a:xfrm flipV="1">
                                <a:off x="1097280" y="5514340"/>
                                <a:ext cx="897255"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9pt;margin-top:113.25pt;height:0.6pt;width:70.65pt;z-index:251658240;mso-width-relative:page;mso-height-relative:page;" filled="f" stroked="t" coordsize="21600,21600" o:gfxdata="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uzxqPYAAAACgEAAA8A&#10;AAAAAAAAAQAgAAAAIgAAAGRycy9kb3ducmV2LnhtbFBLAQIUABQAAAAIAIdO4kDl+BAG3gEAAHsD&#10;AAAOAAAAAAAAAAEAIAAAACcBAABkcnMvZTJvRG9jLnhtbFBLBQYAAAAABgAGAFkBAAB3BQAAAAA=&#10;">
                      <v:fill on="f" focussize="0,0"/>
                      <v:stroke weight="0.5pt" color="#000000 [3200]" miterlimit="8" joinstyle="miter"/>
                      <v:imagedata o:title=""/>
                      <o:lock v:ext="edit" aspectratio="f"/>
                    </v:line>
                  </w:pict>
                </mc:Fallback>
              </mc:AlternateContent>
            </w:r>
            <w:r>
              <w:rPr>
                <w:rFonts w:hint="eastAsia"/>
                <w:highlight w:val="none"/>
              </w:rPr>
              <w:t>产出指标</w:t>
            </w:r>
          </w:p>
        </w:tc>
        <w:tc>
          <w:tcPr>
            <w:tcW w:w="1603" w:type="dxa"/>
            <w:vMerge w:val="restart"/>
            <w:tcBorders>
              <w:top w:val="nil"/>
              <w:left w:val="single" w:color="auto" w:sz="4" w:space="0"/>
              <w:right w:val="single" w:color="auto" w:sz="4" w:space="0"/>
            </w:tcBorders>
            <w:shd w:val="clear" w:color="auto" w:fill="auto"/>
            <w:vAlign w:val="center"/>
          </w:tcPr>
          <w:p>
            <w:pPr>
              <w:pStyle w:val="19"/>
              <w:rPr>
                <w:highlight w:val="none"/>
              </w:rPr>
            </w:pPr>
            <w:r>
              <w:rPr>
                <w:rFonts w:hint="eastAsia"/>
                <w:highlight w:val="none"/>
              </w:rPr>
              <w:t>数量指标</w:t>
            </w: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left="0" w:leftChars="0" w:firstLine="0" w:firstLineChars="0"/>
              <w:jc w:val="left"/>
              <w:rPr>
                <w:rFonts w:hint="eastAsia" w:ascii="Calibri" w:hAnsi="Calibri" w:eastAsia="宋体" w:cs="Times New Roman"/>
                <w:kern w:val="2"/>
                <w:sz w:val="18"/>
                <w:szCs w:val="18"/>
                <w:highlight w:val="none"/>
                <w:lang w:val="en-US" w:eastAsia="zh-CN" w:bidi="ar-SA"/>
              </w:rPr>
            </w:pPr>
            <w:r>
              <w:rPr>
                <w:rFonts w:hint="eastAsia" w:ascii="宋体" w:hAnsi="宋体" w:eastAsia="宋体" w:cs="宋体"/>
                <w:color w:val="000000"/>
                <w:kern w:val="0"/>
                <w:sz w:val="18"/>
                <w:szCs w:val="18"/>
                <w:lang w:eastAsia="zh-CN"/>
              </w:rPr>
              <w:t>智能密集架</w:t>
            </w:r>
            <w:r>
              <w:rPr>
                <w:rFonts w:hint="eastAsia" w:ascii="宋体" w:hAnsi="宋体" w:eastAsia="宋体" w:cs="宋体"/>
                <w:color w:val="000000"/>
                <w:kern w:val="0"/>
                <w:sz w:val="18"/>
                <w:szCs w:val="18"/>
                <w:lang w:val="en-US" w:eastAsia="zh-CN"/>
              </w:rPr>
              <w:t>608立方米数量</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9"/>
              <w:rPr>
                <w:rFonts w:hint="eastAsia"/>
                <w:highlight w:val="none"/>
              </w:rPr>
            </w:pPr>
          </w:p>
        </w:tc>
        <w:tc>
          <w:tcPr>
            <w:tcW w:w="1603" w:type="dxa"/>
            <w:vMerge w:val="continue"/>
            <w:tcBorders>
              <w:left w:val="single" w:color="auto" w:sz="4" w:space="0"/>
              <w:right w:val="single" w:color="auto" w:sz="4" w:space="0"/>
            </w:tcBorders>
            <w:shd w:val="clear" w:color="auto" w:fill="auto"/>
            <w:vAlign w:val="center"/>
          </w:tcPr>
          <w:p>
            <w:pPr>
              <w:pStyle w:val="19"/>
              <w:rPr>
                <w:rFonts w:hint="eastAsia"/>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left="0" w:leftChars="0" w:firstLine="0" w:firstLineChars="0"/>
              <w:jc w:val="left"/>
              <w:rPr>
                <w:rFonts w:hint="eastAsia" w:ascii="宋体" w:hAnsi="宋体" w:cs="宋体"/>
                <w:color w:val="000000"/>
                <w:kern w:val="0"/>
                <w:sz w:val="18"/>
                <w:szCs w:val="18"/>
                <w:highlight w:val="none"/>
                <w:lang w:val="en-US" w:eastAsia="zh-CN"/>
              </w:rPr>
            </w:pPr>
            <w:r>
              <w:rPr>
                <w:rFonts w:hint="eastAsia" w:ascii="宋体" w:hAnsi="宋体" w:eastAsia="宋体" w:cs="宋体"/>
                <w:color w:val="000000"/>
                <w:kern w:val="0"/>
                <w:sz w:val="18"/>
                <w:szCs w:val="18"/>
                <w:lang w:eastAsia="zh-CN"/>
              </w:rPr>
              <w:t>环境监控系统一套</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9"/>
              <w:rPr>
                <w:highlight w:val="none"/>
              </w:rPr>
            </w:pPr>
          </w:p>
        </w:tc>
        <w:tc>
          <w:tcPr>
            <w:tcW w:w="1603" w:type="dxa"/>
            <w:vMerge w:val="continue"/>
            <w:tcBorders>
              <w:left w:val="single" w:color="auto" w:sz="4" w:space="0"/>
              <w:right w:val="single" w:color="auto" w:sz="4" w:space="0"/>
            </w:tcBorders>
            <w:vAlign w:val="center"/>
          </w:tcPr>
          <w:p>
            <w:pPr>
              <w:pStyle w:val="19"/>
              <w:rPr>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tabs>
                <w:tab w:val="center" w:pos="560"/>
              </w:tabs>
              <w:spacing w:line="240" w:lineRule="exact"/>
              <w:ind w:left="0" w:leftChars="0" w:firstLine="0" w:firstLineChars="0"/>
              <w:jc w:val="both"/>
              <w:rPr>
                <w:rFonts w:hint="eastAsia" w:ascii="Calibri" w:hAnsi="Calibri" w:eastAsia="宋体" w:cs="Times New Roman"/>
                <w:kern w:val="2"/>
                <w:sz w:val="18"/>
                <w:szCs w:val="18"/>
                <w:highlight w:val="none"/>
                <w:lang w:val="en-US" w:eastAsia="zh-CN" w:bidi="ar-SA"/>
              </w:rPr>
            </w:pPr>
            <w:r>
              <w:rPr>
                <w:rFonts w:hint="eastAsia" w:ascii="宋体" w:hAnsi="宋体" w:eastAsia="宋体" w:cs="宋体"/>
                <w:color w:val="000000"/>
                <w:kern w:val="0"/>
                <w:sz w:val="18"/>
                <w:szCs w:val="18"/>
                <w:lang w:val="en-US" w:eastAsia="zh-CN"/>
              </w:rPr>
              <w:t>手动密集架1450立方米数量</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9"/>
              <w:rPr>
                <w:highlight w:val="none"/>
              </w:rPr>
            </w:pPr>
          </w:p>
        </w:tc>
        <w:tc>
          <w:tcPr>
            <w:tcW w:w="1603" w:type="dxa"/>
            <w:vMerge w:val="restart"/>
            <w:tcBorders>
              <w:top w:val="single" w:color="auto" w:sz="4" w:space="0"/>
              <w:left w:val="single" w:color="auto" w:sz="4" w:space="0"/>
              <w:right w:val="single" w:color="auto" w:sz="4" w:space="0"/>
            </w:tcBorders>
            <w:vAlign w:val="center"/>
          </w:tcPr>
          <w:p>
            <w:pPr>
              <w:pStyle w:val="19"/>
              <w:rPr>
                <w:highlight w:val="none"/>
              </w:rPr>
            </w:pPr>
            <w:r>
              <w:rPr>
                <w:rFonts w:hint="eastAsia"/>
                <w:highlight w:val="none"/>
              </w:rPr>
              <w:t>质量指标</w:t>
            </w:r>
          </w:p>
        </w:tc>
        <w:tc>
          <w:tcPr>
            <w:tcW w:w="2724" w:type="dxa"/>
            <w:tcBorders>
              <w:top w:val="nil"/>
              <w:left w:val="nil"/>
              <w:bottom w:val="single" w:color="auto" w:sz="4" w:space="0"/>
              <w:right w:val="single" w:color="auto" w:sz="4" w:space="0"/>
            </w:tcBorders>
            <w:shd w:val="clear" w:color="auto" w:fill="auto"/>
            <w:vAlign w:val="center"/>
          </w:tcPr>
          <w:p>
            <w:pPr>
              <w:pStyle w:val="19"/>
              <w:rPr>
                <w:rFonts w:hint="eastAsia" w:eastAsia="仿宋"/>
                <w:highlight w:val="none"/>
                <w:lang w:eastAsia="zh-CN"/>
              </w:rPr>
            </w:pPr>
            <w:r>
              <w:rPr>
                <w:rFonts w:hint="eastAsia"/>
                <w:highlight w:val="none"/>
                <w:lang w:eastAsia="zh-CN"/>
              </w:rPr>
              <w:t>验收合格率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15</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9"/>
              <w:rPr>
                <w:highlight w:val="none"/>
              </w:rPr>
            </w:pPr>
          </w:p>
        </w:tc>
        <w:tc>
          <w:tcPr>
            <w:tcW w:w="1603" w:type="dxa"/>
            <w:vMerge w:val="continue"/>
            <w:tcBorders>
              <w:left w:val="single" w:color="auto" w:sz="4" w:space="0"/>
              <w:right w:val="single" w:color="auto" w:sz="4" w:space="0"/>
            </w:tcBorders>
            <w:vAlign w:val="center"/>
          </w:tcPr>
          <w:p>
            <w:pPr>
              <w:pStyle w:val="19"/>
              <w:rPr>
                <w:highlight w:val="none"/>
              </w:rPr>
            </w:pPr>
          </w:p>
        </w:tc>
        <w:tc>
          <w:tcPr>
            <w:tcW w:w="2724" w:type="dxa"/>
            <w:tcBorders>
              <w:top w:val="nil"/>
              <w:left w:val="nil"/>
              <w:bottom w:val="single" w:color="auto" w:sz="4" w:space="0"/>
              <w:right w:val="single" w:color="auto" w:sz="4" w:space="0"/>
            </w:tcBorders>
            <w:shd w:val="clear" w:color="auto" w:fill="auto"/>
            <w:vAlign w:val="center"/>
          </w:tcPr>
          <w:p>
            <w:pPr>
              <w:pStyle w:val="19"/>
              <w:rPr>
                <w:rFonts w:hint="eastAsia" w:eastAsia="仿宋"/>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p>
        </w:tc>
      </w:tr>
      <w:tr>
        <w:tblPrEx>
          <w:tblLayout w:type="fixed"/>
          <w:tblCellMar>
            <w:top w:w="0" w:type="dxa"/>
            <w:left w:w="108" w:type="dxa"/>
            <w:bottom w:w="0" w:type="dxa"/>
            <w:right w:w="108" w:type="dxa"/>
          </w:tblCellMar>
        </w:tblPrEx>
        <w:trPr>
          <w:trHeight w:val="761" w:hRule="atLeast"/>
          <w:jc w:val="center"/>
        </w:trPr>
        <w:tc>
          <w:tcPr>
            <w:tcW w:w="1305" w:type="dxa"/>
            <w:vMerge w:val="continue"/>
            <w:tcBorders>
              <w:left w:val="single" w:color="auto" w:sz="4" w:space="0"/>
              <w:right w:val="single" w:color="auto" w:sz="4" w:space="0"/>
            </w:tcBorders>
            <w:vAlign w:val="center"/>
          </w:tcPr>
          <w:p>
            <w:pPr>
              <w:pStyle w:val="19"/>
              <w:rPr>
                <w:highlight w:val="none"/>
              </w:rPr>
            </w:pPr>
          </w:p>
        </w:tc>
        <w:tc>
          <w:tcPr>
            <w:tcW w:w="1603" w:type="dxa"/>
            <w:tcBorders>
              <w:top w:val="single" w:color="auto" w:sz="4" w:space="0"/>
              <w:left w:val="single" w:color="auto" w:sz="4" w:space="0"/>
              <w:right w:val="single" w:color="auto" w:sz="4" w:space="0"/>
            </w:tcBorders>
            <w:vAlign w:val="center"/>
          </w:tcPr>
          <w:p>
            <w:pPr>
              <w:pStyle w:val="19"/>
              <w:rPr>
                <w:highlight w:val="none"/>
              </w:rPr>
            </w:pPr>
            <w:r>
              <w:rPr>
                <w:rFonts w:hint="eastAsia"/>
                <w:highlight w:val="none"/>
              </w:rPr>
              <w:t>时效指标</w:t>
            </w:r>
          </w:p>
        </w:tc>
        <w:tc>
          <w:tcPr>
            <w:tcW w:w="2724" w:type="dxa"/>
            <w:tcBorders>
              <w:top w:val="nil"/>
              <w:left w:val="nil"/>
              <w:bottom w:val="single" w:color="auto" w:sz="4" w:space="0"/>
              <w:right w:val="single" w:color="auto" w:sz="4" w:space="0"/>
            </w:tcBorders>
            <w:shd w:val="clear" w:color="auto" w:fill="auto"/>
            <w:vAlign w:val="center"/>
          </w:tcPr>
          <w:p>
            <w:pPr>
              <w:pStyle w:val="19"/>
              <w:rPr>
                <w:highlight w:val="none"/>
              </w:rPr>
            </w:pPr>
            <w:r>
              <w:rPr>
                <w:rFonts w:hint="eastAsia" w:ascii="宋体" w:hAnsi="宋体" w:cs="宋体"/>
                <w:color w:val="000000"/>
                <w:kern w:val="0"/>
                <w:sz w:val="28"/>
                <w:szCs w:val="28"/>
                <w:highlight w:val="none"/>
                <w:lang w:val="en-US" w:eastAsia="zh-CN"/>
              </w:rPr>
              <w:t>发货及时率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3</w:t>
            </w:r>
          </w:p>
        </w:tc>
      </w:tr>
      <w:tr>
        <w:tblPrEx>
          <w:tblLayout w:type="fixed"/>
          <w:tblCellMar>
            <w:top w:w="0" w:type="dxa"/>
            <w:left w:w="108" w:type="dxa"/>
            <w:bottom w:w="0" w:type="dxa"/>
            <w:right w:w="108" w:type="dxa"/>
          </w:tblCellMar>
        </w:tblPrEx>
        <w:trPr>
          <w:trHeight w:val="567" w:hRule="atLeast"/>
          <w:jc w:val="center"/>
        </w:trPr>
        <w:tc>
          <w:tcPr>
            <w:tcW w:w="1305" w:type="dxa"/>
            <w:vMerge w:val="restart"/>
            <w:tcBorders>
              <w:top w:val="nil"/>
              <w:left w:val="single" w:color="auto" w:sz="4" w:space="0"/>
              <w:bottom w:val="single" w:color="auto" w:sz="4" w:space="0"/>
              <w:right w:val="single" w:color="auto" w:sz="4" w:space="0"/>
            </w:tcBorders>
            <w:shd w:val="clear" w:color="auto" w:fill="auto"/>
            <w:vAlign w:val="center"/>
          </w:tcPr>
          <w:p>
            <w:pPr>
              <w:pStyle w:val="19"/>
              <w:rPr>
                <w:highlight w:val="none"/>
              </w:rPr>
            </w:pPr>
            <w:r>
              <w:rPr>
                <w:rFonts w:hint="eastAsia"/>
                <w:highlight w:val="none"/>
              </w:rPr>
              <w:t>效益指标</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rPr>
                <w:highlight w:val="none"/>
              </w:rPr>
            </w:pPr>
            <w:r>
              <w:rPr>
                <w:rFonts w:hint="eastAsia"/>
                <w:highlight w:val="none"/>
              </w:rPr>
              <w:t>经济效益指标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9"/>
              <w:rPr>
                <w:highlight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highlight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highlight w:val="none"/>
              </w:rPr>
            </w:pP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9"/>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9"/>
              <w:rPr>
                <w:highlight w:val="none"/>
              </w:rPr>
            </w:pPr>
            <w:r>
              <w:rPr>
                <w:rFonts w:hint="eastAsia"/>
                <w:highlight w:val="none"/>
              </w:rPr>
              <w:t>社会效益指标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9"/>
              <w:rPr>
                <w:rFonts w:hint="eastAsia" w:eastAsia="仿宋"/>
                <w:highlight w:val="none"/>
                <w:lang w:eastAsia="zh-CN"/>
              </w:rPr>
            </w:pPr>
            <w:r>
              <w:rPr>
                <w:rFonts w:hint="eastAsia"/>
                <w:highlight w:val="none"/>
                <w:lang w:eastAsia="zh-CN"/>
              </w:rPr>
              <w:t>保障档案安全</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30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30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9"/>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9"/>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rFonts w:hint="eastAsia"/>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eastAsia"/>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eastAsia"/>
                <w:highlight w:val="none"/>
                <w:lang w:val="en-US" w:eastAsia="zh-CN"/>
              </w:rPr>
            </w:pP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9"/>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9"/>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9"/>
              <w:rPr>
                <w:rFonts w:hint="eastAsia"/>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highlight w:val="none"/>
                <w:lang w:val="en-US" w:eastAsia="zh-CN"/>
              </w:rPr>
            </w:pP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9"/>
              <w:rPr>
                <w:highlight w:val="none"/>
              </w:rPr>
            </w:pP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rPr>
                <w:highlight w:val="none"/>
              </w:rPr>
            </w:pPr>
            <w:r>
              <w:rPr>
                <w:rFonts w:hint="eastAsia"/>
                <w:highlight w:val="none"/>
              </w:rPr>
              <w:t>生态效益指标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9"/>
              <w:rPr>
                <w:highlight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eastAsia" w:eastAsia="仿宋"/>
                <w:highlight w:val="none"/>
                <w:lang w:val="en-US" w:eastAsia="zh-CN"/>
              </w:rPr>
            </w:pP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9"/>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9"/>
              <w:rPr>
                <w:highlight w:val="none"/>
              </w:rPr>
            </w:pPr>
            <w:r>
              <w:rPr>
                <w:rFonts w:hint="eastAsia"/>
                <w:highlight w:val="none"/>
              </w:rPr>
              <w:t>可持续影响指标</w:t>
            </w: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9"/>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eastAsia" w:eastAsia="仿宋"/>
                <w:highlight w:val="none"/>
                <w:lang w:val="en-US" w:eastAsia="zh-CN"/>
              </w:rPr>
            </w:pP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9"/>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9"/>
              <w:rPr>
                <w:highlight w:val="none"/>
              </w:rPr>
            </w:pP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9"/>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eastAsia" w:eastAsia="仿宋"/>
                <w:highlight w:val="none"/>
                <w:lang w:val="en-US" w:eastAsia="zh-CN"/>
              </w:rPr>
            </w:pPr>
          </w:p>
        </w:tc>
      </w:tr>
      <w:tr>
        <w:tblPrEx>
          <w:tblLayout w:type="fixed"/>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rPr>
                <w:highlight w:val="none"/>
              </w:rPr>
            </w:pPr>
            <w:r>
              <w:rPr>
                <w:rFonts w:hint="eastAsia"/>
                <w:highlight w:val="none"/>
              </w:rPr>
              <w:t>满意度</w:t>
            </w:r>
          </w:p>
          <w:p>
            <w:pPr>
              <w:pStyle w:val="19"/>
              <w:rPr>
                <w:highlight w:val="none"/>
              </w:rPr>
            </w:pPr>
            <w:r>
              <w:rPr>
                <w:rFonts w:hint="eastAsia"/>
                <w:highlight w:val="none"/>
              </w:rPr>
              <w:t>指标</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9"/>
              <w:rPr>
                <w:highlight w:val="none"/>
              </w:rPr>
            </w:pPr>
            <w:r>
              <w:rPr>
                <w:rFonts w:hint="eastAsia"/>
                <w:highlight w:val="none"/>
              </w:rPr>
              <w:t>服务对象满意度指标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9"/>
              <w:rPr>
                <w:rFonts w:hint="eastAsia" w:eastAsia="仿宋"/>
                <w:highlight w:val="none"/>
                <w:lang w:eastAsia="zh-CN"/>
              </w:rPr>
            </w:pPr>
            <w:r>
              <w:rPr>
                <w:rFonts w:hint="eastAsia"/>
                <w:highlight w:val="none"/>
                <w:lang w:eastAsia="zh-CN"/>
              </w:rPr>
              <w:t>群众满意度</w:t>
            </w:r>
          </w:p>
        </w:tc>
        <w:tc>
          <w:tcPr>
            <w:tcW w:w="1439" w:type="dxa"/>
            <w:tcBorders>
              <w:top w:val="single" w:color="auto" w:sz="4" w:space="0"/>
              <w:left w:val="single" w:color="000000" w:sz="4" w:space="0"/>
              <w:bottom w:val="single" w:color="auto" w:sz="4" w:space="0"/>
              <w:right w:val="single" w:color="000000" w:sz="4" w:space="0"/>
            </w:tcBorders>
            <w:shd w:val="clear" w:color="auto" w:fill="auto"/>
            <w:vAlign w:val="center"/>
          </w:tcPr>
          <w:p>
            <w:pPr>
              <w:pStyle w:val="19"/>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eastAsia"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563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9"/>
              <w:rPr>
                <w:highlight w:val="none"/>
              </w:rPr>
            </w:pPr>
            <w:r>
              <w:rPr>
                <w:rFonts w:hint="eastAsia"/>
                <w:highlight w:val="none"/>
              </w:rPr>
              <w:t>总分</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9"/>
              <w:rPr>
                <w:highlight w:val="none"/>
              </w:rPr>
            </w:pPr>
            <w:r>
              <w:rPr>
                <w:rFonts w:hint="eastAsia"/>
                <w:highlight w:val="none"/>
              </w:rPr>
              <w:t>1</w:t>
            </w:r>
            <w:r>
              <w:rPr>
                <w:highlight w:val="none"/>
              </w:rPr>
              <w:t>00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9"/>
              <w:rPr>
                <w:rFonts w:hint="eastAsia" w:eastAsia="仿宋"/>
                <w:highlight w:val="none"/>
                <w:lang w:val="en-US" w:eastAsia="zh-CN"/>
              </w:rPr>
            </w:pPr>
            <w:r>
              <w:rPr>
                <w:rFonts w:hint="eastAsia"/>
                <w:highlight w:val="none"/>
                <w:lang w:val="en-US" w:eastAsia="zh-CN"/>
              </w:rPr>
              <w:t>98</w:t>
            </w:r>
          </w:p>
        </w:tc>
      </w:tr>
    </w:tbl>
    <w:p>
      <w:pPr>
        <w:pStyle w:val="6"/>
        <w:rPr>
          <w:highlight w:val="none"/>
        </w:rPr>
      </w:pPr>
      <w:bookmarkStart w:id="43" w:name="_Toc24245"/>
      <w:bookmarkStart w:id="44" w:name="_Toc79333445"/>
      <w:bookmarkStart w:id="45" w:name="_Toc31442"/>
      <w:r>
        <w:rPr>
          <w:rFonts w:hint="eastAsia"/>
          <w:highlight w:val="none"/>
        </w:rPr>
        <w:t>（二）自评指标分析</w:t>
      </w:r>
      <w:bookmarkEnd w:id="43"/>
      <w:bookmarkEnd w:id="44"/>
      <w:bookmarkEnd w:id="45"/>
    </w:p>
    <w:p>
      <w:pPr>
        <w:pStyle w:val="7"/>
        <w:ind w:firstLine="643"/>
        <w:rPr>
          <w:highlight w:val="none"/>
        </w:rPr>
      </w:pPr>
      <w:bookmarkStart w:id="46" w:name="_Toc79333446"/>
      <w:bookmarkStart w:id="47" w:name="_Toc9747"/>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highlight w:val="none"/>
          <w:lang w:val="en-US" w:eastAsia="zh-CN"/>
        </w:rPr>
        <w:t>45.46万元</w:t>
      </w:r>
      <w:r>
        <w:rPr>
          <w:rFonts w:hint="eastAsia"/>
          <w:highlight w:val="none"/>
        </w:rPr>
        <w:t>，全年执行数为</w:t>
      </w:r>
      <w:r>
        <w:rPr>
          <w:rFonts w:hint="eastAsia"/>
          <w:highlight w:val="none"/>
          <w:lang w:val="en-US" w:eastAsia="zh-CN"/>
        </w:rPr>
        <w:t>45.46万元</w:t>
      </w:r>
      <w:r>
        <w:rPr>
          <w:rFonts w:hint="eastAsia"/>
          <w:highlight w:val="none"/>
        </w:rPr>
        <w:t>，预算执行率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7"/>
        <w:ind w:firstLine="643"/>
      </w:pPr>
      <w:bookmarkStart w:id="48" w:name="_Toc79333447"/>
      <w:r>
        <w:rPr>
          <w:rFonts w:hint="eastAsia"/>
        </w:rPr>
        <w:t>2、产出指标分析</w:t>
      </w:r>
      <w:bookmarkEnd w:id="48"/>
    </w:p>
    <w:p>
      <w:pPr>
        <w:ind w:firstLine="640"/>
      </w:pPr>
      <w:r>
        <w:rPr>
          <w:rFonts w:hint="eastAsia"/>
        </w:rPr>
        <w:t>一级指标“产出指标”下设</w:t>
      </w:r>
      <w:r>
        <w:rPr>
          <w:rFonts w:hint="eastAsia"/>
          <w:lang w:eastAsia="zh-CN"/>
        </w:rPr>
        <w:t>三</w:t>
      </w:r>
      <w:r>
        <w:rPr>
          <w:rFonts w:hint="eastAsia"/>
        </w:rPr>
        <w:t>个二级指标分别是：“数量指标”、“质量指标”、“时效指标”。</w:t>
      </w:r>
    </w:p>
    <w:p>
      <w:pPr>
        <w:ind w:firstLine="640"/>
        <w:rPr>
          <w:highlight w:val="none"/>
        </w:rPr>
      </w:pPr>
      <w:r>
        <w:rPr>
          <w:rFonts w:hint="eastAsia"/>
          <w:highlight w:val="none"/>
        </w:rPr>
        <w:t>（1）数量指标</w:t>
      </w:r>
    </w:p>
    <w:p>
      <w:pPr>
        <w:ind w:firstLine="640"/>
        <w:rPr>
          <w:rFonts w:hint="eastAsia"/>
          <w:highlight w:val="none"/>
          <w:lang w:eastAsia="zh-CN"/>
        </w:rPr>
      </w:pPr>
      <w:r>
        <w:rPr>
          <w:rFonts w:hint="eastAsia"/>
          <w:highlight w:val="none"/>
        </w:rPr>
        <w:t>“数量指标”下设</w:t>
      </w:r>
      <w:r>
        <w:rPr>
          <w:rFonts w:hint="eastAsia"/>
          <w:highlight w:val="none"/>
          <w:lang w:eastAsia="zh-CN"/>
        </w:rPr>
        <w:t>三</w:t>
      </w:r>
      <w:r>
        <w:rPr>
          <w:rFonts w:hint="eastAsia"/>
          <w:highlight w:val="none"/>
        </w:rPr>
        <w:t>个三级指标“</w:t>
      </w:r>
      <w:r>
        <w:rPr>
          <w:rFonts w:hint="eastAsia"/>
          <w:highlight w:val="none"/>
          <w:lang w:eastAsia="zh-CN"/>
        </w:rPr>
        <w:t>智能密集架</w:t>
      </w:r>
      <w:r>
        <w:rPr>
          <w:rFonts w:hint="eastAsia"/>
          <w:highlight w:val="none"/>
          <w:lang w:val="en-US" w:eastAsia="zh-CN"/>
        </w:rPr>
        <w:t>608立方米个数、</w:t>
      </w:r>
      <w:r>
        <w:rPr>
          <w:rFonts w:hint="eastAsia"/>
          <w:highlight w:val="none"/>
          <w:lang w:eastAsia="zh-CN"/>
        </w:rPr>
        <w:t>环境监控系统一套</w:t>
      </w:r>
      <w:r>
        <w:rPr>
          <w:rFonts w:hint="eastAsia"/>
          <w:highlight w:val="none"/>
          <w:lang w:val="en-US" w:eastAsia="zh-CN"/>
        </w:rPr>
        <w:t>、</w:t>
      </w:r>
      <w:r>
        <w:rPr>
          <w:rFonts w:hint="eastAsia"/>
          <w:highlight w:val="none"/>
          <w:lang w:eastAsia="zh-CN"/>
        </w:rPr>
        <w:t>指标</w:t>
      </w:r>
      <w:r>
        <w:rPr>
          <w:rFonts w:hint="eastAsia"/>
          <w:highlight w:val="none"/>
          <w:lang w:val="en-US" w:eastAsia="zh-CN"/>
        </w:rPr>
        <w:t>3：手动密集架1450立方米</w:t>
      </w:r>
    </w:p>
    <w:p>
      <w:pPr>
        <w:ind w:firstLine="640"/>
        <w:rPr>
          <w:highlight w:val="none"/>
        </w:rPr>
      </w:pPr>
      <w:r>
        <w:rPr>
          <w:rFonts w:hint="eastAsia"/>
          <w:highlight w:val="none"/>
        </w:rPr>
        <w:t>截止2</w:t>
      </w:r>
      <w:r>
        <w:rPr>
          <w:highlight w:val="none"/>
        </w:rPr>
        <w:t>0</w:t>
      </w:r>
      <w:r>
        <w:rPr>
          <w:rFonts w:hint="eastAsia"/>
          <w:highlight w:val="none"/>
          <w:lang w:val="en-US" w:eastAsia="zh-CN"/>
        </w:rPr>
        <w:t>21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highlight w:val="none"/>
          <w:lang w:eastAsia="zh-CN"/>
        </w:rPr>
        <w:t>智能密集架</w:t>
      </w:r>
      <w:r>
        <w:rPr>
          <w:rFonts w:hint="eastAsia"/>
          <w:highlight w:val="none"/>
          <w:lang w:val="en-US" w:eastAsia="zh-CN"/>
        </w:rPr>
        <w:t>608立方米个数为10套，完成年度目标</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w:t>
      </w:r>
      <w:r>
        <w:rPr>
          <w:rFonts w:hint="eastAsia"/>
          <w:highlight w:val="none"/>
          <w:lang w:eastAsia="zh-CN"/>
        </w:rPr>
        <w:t>环境监控系统一套</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lang w:eastAsia="zh-CN"/>
        </w:rPr>
        <w:t>，</w:t>
      </w:r>
      <w:r>
        <w:rPr>
          <w:rFonts w:hint="eastAsia"/>
          <w:highlight w:val="none"/>
          <w:lang w:val="en-US" w:eastAsia="zh-CN"/>
        </w:rPr>
        <w:t>手动密集架1450立方米数量</w:t>
      </w:r>
      <w:r>
        <w:rPr>
          <w:rFonts w:hint="eastAsia"/>
          <w:highlight w:val="none"/>
          <w:lang w:eastAsia="zh-CN"/>
        </w:rPr>
        <w:t>也完成了年初目标设定，</w:t>
      </w:r>
      <w:r>
        <w:rPr>
          <w:rFonts w:hint="eastAsia"/>
          <w:highlight w:val="none"/>
        </w:rPr>
        <w:t>该指标标准分值</w:t>
      </w:r>
      <w:r>
        <w:rPr>
          <w:rFonts w:hint="eastAsia"/>
          <w:highlight w:val="none"/>
          <w:lang w:val="en-US" w:eastAsia="zh-CN"/>
        </w:rPr>
        <w:t>10</w:t>
      </w:r>
      <w:r>
        <w:rPr>
          <w:highlight w:val="none"/>
        </w:rPr>
        <w:t>分</w:t>
      </w:r>
      <w:r>
        <w:rPr>
          <w:rFonts w:hint="eastAsia"/>
          <w:highlight w:val="none"/>
          <w:lang w:eastAsia="zh-CN"/>
        </w:rPr>
        <w:t>，得</w:t>
      </w:r>
      <w:r>
        <w:rPr>
          <w:rFonts w:hint="eastAsia"/>
          <w:highlight w:val="none"/>
          <w:lang w:val="en-US" w:eastAsia="zh-CN"/>
        </w:rPr>
        <w:t>10分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30</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w:t>
      </w:r>
      <w:r>
        <w:rPr>
          <w:rFonts w:hint="eastAsia"/>
          <w:highlight w:val="none"/>
          <w:lang w:eastAsia="zh-CN"/>
        </w:rPr>
        <w:t>一</w:t>
      </w:r>
      <w:r>
        <w:rPr>
          <w:rFonts w:hint="eastAsia"/>
          <w:highlight w:val="none"/>
        </w:rPr>
        <w:t>个三级指标“</w:t>
      </w:r>
      <w:r>
        <w:rPr>
          <w:rFonts w:hint="eastAsia"/>
          <w:highlight w:val="none"/>
          <w:lang w:eastAsia="zh-CN"/>
        </w:rPr>
        <w:t>验收合格率</w:t>
      </w:r>
      <w:r>
        <w:rPr>
          <w:rFonts w:hint="eastAsia"/>
          <w:highlight w:val="none"/>
        </w:rPr>
        <w:t>”。</w:t>
      </w:r>
    </w:p>
    <w:p>
      <w:pPr>
        <w:ind w:firstLine="640"/>
        <w:rPr>
          <w:highlight w:val="none"/>
        </w:rPr>
      </w:pPr>
      <w:r>
        <w:rPr>
          <w:rFonts w:hint="eastAsia"/>
          <w:highlight w:val="none"/>
        </w:rPr>
        <w:t>根据指标要求，</w:t>
      </w:r>
      <w:r>
        <w:rPr>
          <w:rFonts w:hint="eastAsia"/>
          <w:highlight w:val="none"/>
          <w:lang w:eastAsia="zh-CN"/>
        </w:rPr>
        <w:t>检准率</w:t>
      </w:r>
      <w:r>
        <w:rPr>
          <w:rFonts w:hint="eastAsia"/>
          <w:highlight w:val="none"/>
        </w:rPr>
        <w:t>项目验收合格</w:t>
      </w:r>
      <w:r>
        <w:rPr>
          <w:rFonts w:hint="eastAsia"/>
          <w:highlight w:val="none"/>
          <w:lang w:eastAsia="zh-CN"/>
        </w:rPr>
        <w:t>，验收合格率</w:t>
      </w:r>
      <w:r>
        <w:rPr>
          <w:rFonts w:hint="eastAsia"/>
          <w:highlight w:val="none"/>
        </w:rPr>
        <w:t>达到1</w:t>
      </w:r>
      <w:r>
        <w:rPr>
          <w:highlight w:val="none"/>
        </w:rPr>
        <w:t>00</w:t>
      </w:r>
      <w:r>
        <w:rPr>
          <w:rFonts w:hint="eastAsia"/>
          <w:highlight w:val="none"/>
        </w:rPr>
        <w:t>%，该指标标准分值为</w:t>
      </w:r>
      <w:r>
        <w:rPr>
          <w:rFonts w:hint="eastAsia"/>
          <w:highlight w:val="none"/>
          <w:lang w:val="en-US" w:eastAsia="zh-CN"/>
        </w:rPr>
        <w:t>2</w:t>
      </w:r>
      <w:r>
        <w:rPr>
          <w:highlight w:val="none"/>
        </w:rPr>
        <w:t>0</w:t>
      </w:r>
      <w:r>
        <w:rPr>
          <w:rFonts w:hint="eastAsia"/>
          <w:highlight w:val="none"/>
        </w:rPr>
        <w:t>分，得分为</w:t>
      </w:r>
      <w:r>
        <w:rPr>
          <w:rFonts w:hint="eastAsia"/>
          <w:highlight w:val="none"/>
          <w:lang w:val="en-US" w:eastAsia="zh-CN"/>
        </w:rPr>
        <w:t>2</w:t>
      </w:r>
      <w:r>
        <w:rPr>
          <w:highlight w:val="none"/>
        </w:rPr>
        <w:t>0</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2</w:t>
      </w:r>
      <w:r>
        <w:rPr>
          <w:highlight w:val="none"/>
        </w:rPr>
        <w:t>0分。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“时效指标”下设一个三级指标“</w:t>
      </w:r>
      <w:r>
        <w:rPr>
          <w:rFonts w:hint="eastAsia"/>
          <w:highlight w:val="none"/>
          <w:lang w:val="en-US" w:eastAsia="zh-CN"/>
        </w:rPr>
        <w:t>发货及时率</w:t>
      </w:r>
      <w:r>
        <w:rPr>
          <w:rFonts w:hint="eastAsia"/>
          <w:highlight w:val="none"/>
        </w:rPr>
        <w:t>”。</w:t>
      </w:r>
    </w:p>
    <w:p>
      <w:pPr>
        <w:ind w:firstLine="640"/>
        <w:rPr>
          <w:highlight w:val="none"/>
        </w:rPr>
      </w:pPr>
      <w:r>
        <w:rPr>
          <w:rFonts w:hint="eastAsia"/>
          <w:highlight w:val="none"/>
        </w:rPr>
        <w:t>根据指标要求，</w:t>
      </w:r>
      <w:bookmarkStart w:id="49" w:name="_Hlk79160389"/>
      <w:r>
        <w:rPr>
          <w:rFonts w:hint="eastAsia"/>
          <w:highlight w:val="none"/>
          <w:lang w:eastAsia="zh-CN"/>
        </w:rPr>
        <w:t>这项指标，发货及时率为</w:t>
      </w:r>
      <w:r>
        <w:rPr>
          <w:rFonts w:hint="eastAsia"/>
          <w:highlight w:val="none"/>
          <w:lang w:val="en-US" w:eastAsia="zh-CN"/>
        </w:rPr>
        <w:t>6</w:t>
      </w:r>
      <w:bookmarkStart w:id="81" w:name="_GoBack"/>
      <w:bookmarkEnd w:id="81"/>
      <w:r>
        <w:rPr>
          <w:rFonts w:hint="eastAsia"/>
          <w:highlight w:val="none"/>
          <w:lang w:val="en-US" w:eastAsia="zh-CN"/>
        </w:rPr>
        <w:t>0%，</w:t>
      </w:r>
      <w:r>
        <w:rPr>
          <w:rFonts w:hint="eastAsia"/>
          <w:highlight w:val="none"/>
        </w:rPr>
        <w:t>该指标标准分值为</w:t>
      </w:r>
      <w:r>
        <w:rPr>
          <w:highlight w:val="none"/>
        </w:rPr>
        <w:t>5分，得分为</w:t>
      </w:r>
      <w:r>
        <w:rPr>
          <w:rFonts w:hint="eastAsia"/>
          <w:highlight w:val="none"/>
          <w:lang w:val="en-US" w:eastAsia="zh-CN"/>
        </w:rPr>
        <w:t>3</w:t>
      </w:r>
      <w:r>
        <w:rPr>
          <w:highlight w:val="none"/>
        </w:rPr>
        <w:t>分</w:t>
      </w:r>
      <w:r>
        <w:rPr>
          <w:rFonts w:hint="eastAsia"/>
          <w:highlight w:val="none"/>
        </w:rPr>
        <w:t>。</w:t>
      </w:r>
    </w:p>
    <w:bookmarkEnd w:id="49"/>
    <w:p>
      <w:pPr>
        <w:ind w:firstLine="640"/>
        <w:rPr>
          <w:highlight w:val="none"/>
        </w:rPr>
      </w:pPr>
    </w:p>
    <w:p>
      <w:pPr>
        <w:pStyle w:val="7"/>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w:t>
      </w:r>
      <w:r>
        <w:rPr>
          <w:rFonts w:hint="eastAsia"/>
          <w:highlight w:val="none"/>
          <w:lang w:eastAsia="zh-CN"/>
        </w:rPr>
        <w:t>一</w:t>
      </w:r>
      <w:r>
        <w:rPr>
          <w:rFonts w:hint="eastAsia"/>
          <w:highlight w:val="none"/>
        </w:rPr>
        <w:t>个</w:t>
      </w:r>
      <w:r>
        <w:rPr>
          <w:rFonts w:hint="eastAsia"/>
          <w:highlight w:val="none"/>
          <w:lang w:eastAsia="zh-CN"/>
        </w:rPr>
        <w:t>三</w:t>
      </w:r>
      <w:r>
        <w:rPr>
          <w:rFonts w:hint="eastAsia"/>
          <w:highlight w:val="none"/>
        </w:rPr>
        <w:t>级指标，分别为“</w:t>
      </w:r>
      <w:r>
        <w:rPr>
          <w:rFonts w:hint="eastAsia"/>
          <w:highlight w:val="none"/>
          <w:lang w:eastAsia="zh-CN"/>
        </w:rPr>
        <w:t>社会效益指标</w:t>
      </w:r>
      <w:r>
        <w:rPr>
          <w:rFonts w:hint="eastAsia"/>
          <w:highlight w:val="none"/>
        </w:rPr>
        <w:t>”。</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w:t>
      </w:r>
      <w:r>
        <w:rPr>
          <w:rFonts w:hint="eastAsia"/>
          <w:highlight w:val="none"/>
          <w:lang w:eastAsia="zh-CN"/>
        </w:rPr>
        <w:t>一个</w:t>
      </w:r>
      <w:r>
        <w:rPr>
          <w:rFonts w:hint="eastAsia"/>
          <w:highlight w:val="none"/>
        </w:rPr>
        <w:t>三级指标分别为“</w:t>
      </w:r>
      <w:r>
        <w:rPr>
          <w:rFonts w:hint="eastAsia"/>
          <w:highlight w:val="none"/>
          <w:lang w:eastAsia="zh-CN"/>
        </w:rPr>
        <w:t>保障档案安全</w:t>
      </w:r>
      <w:r>
        <w:rPr>
          <w:rFonts w:hint="eastAsia"/>
          <w:highlight w:val="none"/>
        </w:rPr>
        <w:t>”。</w:t>
      </w:r>
    </w:p>
    <w:p>
      <w:pPr>
        <w:ind w:firstLine="640"/>
        <w:rPr>
          <w:highlight w:val="none"/>
        </w:rPr>
      </w:pPr>
      <w:r>
        <w:rPr>
          <w:rFonts w:hint="eastAsia"/>
          <w:highlight w:val="none"/>
          <w:lang w:eastAsia="zh-CN"/>
        </w:rPr>
        <w:t>该项目实施后对太康县的档案管理</w:t>
      </w:r>
      <w:r>
        <w:rPr>
          <w:rFonts w:hint="eastAsia"/>
          <w:highlight w:val="none"/>
        </w:rPr>
        <w:t>产生社会效益，该指标标准分值</w:t>
      </w:r>
      <w:r>
        <w:rPr>
          <w:rFonts w:hint="eastAsia"/>
          <w:highlight w:val="none"/>
          <w:lang w:eastAsia="zh-CN"/>
        </w:rPr>
        <w:t>合计</w:t>
      </w:r>
      <w:r>
        <w:rPr>
          <w:rFonts w:hint="eastAsia"/>
          <w:highlight w:val="none"/>
        </w:rPr>
        <w:t>为</w:t>
      </w:r>
      <w:r>
        <w:rPr>
          <w:rFonts w:hint="eastAsia"/>
          <w:highlight w:val="none"/>
          <w:lang w:val="en-US" w:eastAsia="zh-CN"/>
        </w:rPr>
        <w:t>30</w:t>
      </w:r>
      <w:r>
        <w:rPr>
          <w:rFonts w:hint="eastAsia"/>
          <w:highlight w:val="none"/>
        </w:rPr>
        <w:t>分，实际综合得分为</w:t>
      </w:r>
      <w:r>
        <w:rPr>
          <w:rFonts w:hint="eastAsia"/>
          <w:highlight w:val="none"/>
          <w:lang w:val="en-US" w:eastAsia="zh-CN"/>
        </w:rPr>
        <w:t>30</w:t>
      </w:r>
      <w:r>
        <w:rPr>
          <w:rFonts w:hint="eastAsia"/>
          <w:highlight w:val="none"/>
        </w:rPr>
        <w:t>分。</w:t>
      </w:r>
    </w:p>
    <w:p>
      <w:pPr>
        <w:pStyle w:val="7"/>
        <w:ind w:firstLine="643"/>
        <w:rPr>
          <w:highlight w:val="none"/>
        </w:rPr>
      </w:pPr>
      <w:bookmarkStart w:id="51" w:name="_Toc79333449"/>
      <w:r>
        <w:rPr>
          <w:highlight w:val="none"/>
        </w:rPr>
        <w:t>4、满意度指标分析</w:t>
      </w:r>
      <w:bookmarkEnd w:id="51"/>
    </w:p>
    <w:p>
      <w:pPr>
        <w:rPr>
          <w:highlight w:val="none"/>
        </w:rPr>
      </w:pPr>
    </w:p>
    <w:p>
      <w:pPr>
        <w:ind w:firstLine="640"/>
        <w:rPr>
          <w:highlight w:val="none"/>
        </w:rPr>
      </w:pPr>
      <w:r>
        <w:rPr>
          <w:rFonts w:hint="eastAsia"/>
          <w:highlight w:val="none"/>
        </w:rPr>
        <w:t>满意度：</w:t>
      </w:r>
      <w:r>
        <w:rPr>
          <w:rFonts w:hint="eastAsia"/>
          <w:highlight w:val="none"/>
          <w:lang w:eastAsia="zh-CN"/>
        </w:rPr>
        <w:t>档案管理项目确实提高了群众</w:t>
      </w:r>
      <w:r>
        <w:rPr>
          <w:rFonts w:hint="eastAsia"/>
          <w:highlight w:val="none"/>
        </w:rPr>
        <w:t>满意度，该项指标标准分值</w:t>
      </w:r>
      <w:r>
        <w:rPr>
          <w:rFonts w:hint="eastAsia"/>
          <w:highlight w:val="none"/>
          <w:lang w:val="en-US" w:eastAsia="zh-CN"/>
        </w:rPr>
        <w:t>10</w:t>
      </w:r>
      <w:r>
        <w:rPr>
          <w:rFonts w:hint="eastAsia"/>
          <w:highlight w:val="none"/>
        </w:rPr>
        <w:t>分，得分为</w:t>
      </w:r>
      <w:r>
        <w:rPr>
          <w:rFonts w:hint="eastAsia"/>
          <w:highlight w:val="none"/>
          <w:lang w:val="en-US" w:eastAsia="zh-CN"/>
        </w:rPr>
        <w:t>10</w:t>
      </w:r>
      <w:r>
        <w:rPr>
          <w:rFonts w:hint="eastAsia"/>
          <w:highlight w:val="none"/>
        </w:rPr>
        <w:t>分。</w:t>
      </w:r>
    </w:p>
    <w:p>
      <w:pPr>
        <w:pStyle w:val="5"/>
        <w:rPr>
          <w:highlight w:val="none"/>
        </w:rPr>
      </w:pPr>
      <w:bookmarkStart w:id="52" w:name="_Toc29830"/>
      <w:bookmarkStart w:id="53" w:name="_Toc1809"/>
      <w:bookmarkStart w:id="54" w:name="_Toc79333450"/>
      <w:r>
        <w:rPr>
          <w:rFonts w:hint="eastAsia"/>
          <w:highlight w:val="none"/>
        </w:rPr>
        <w:t>四、成果和问题</w:t>
      </w:r>
      <w:bookmarkEnd w:id="52"/>
      <w:bookmarkEnd w:id="53"/>
      <w:bookmarkEnd w:id="54"/>
    </w:p>
    <w:p>
      <w:pPr>
        <w:pStyle w:val="6"/>
        <w:rPr>
          <w:highlight w:val="none"/>
        </w:rPr>
      </w:pPr>
      <w:bookmarkStart w:id="55" w:name="_Toc79333451"/>
      <w:bookmarkStart w:id="56" w:name="_Toc30565"/>
      <w:r>
        <w:rPr>
          <w:rFonts w:hint="eastAsia"/>
          <w:highlight w:val="none"/>
        </w:rPr>
        <w:t>（一）项目实施的成果</w:t>
      </w:r>
      <w:bookmarkEnd w:id="55"/>
      <w:bookmarkEnd w:id="56"/>
    </w:p>
    <w:p>
      <w:pPr>
        <w:ind w:firstLine="640"/>
        <w:rPr>
          <w:highlight w:val="none"/>
        </w:rPr>
      </w:pPr>
    </w:p>
    <w:p>
      <w:pPr>
        <w:pStyle w:val="15"/>
        <w:spacing w:before="120" w:beforeAutospacing="0" w:after="120" w:afterAutospacing="0"/>
        <w:ind w:firstLine="640" w:firstLineChars="200"/>
        <w:rPr>
          <w:rFonts w:hint="eastAsia" w:ascii="仿宋" w:hAnsi="仿宋" w:eastAsia="仿宋" w:cstheme="minorBidi"/>
          <w:kern w:val="2"/>
          <w:sz w:val="32"/>
          <w:szCs w:val="32"/>
          <w:highlight w:val="none"/>
          <w:lang w:val="en-US" w:eastAsia="zh-CN" w:bidi="ar-SA"/>
        </w:rPr>
      </w:pPr>
      <w:bookmarkStart w:id="57" w:name="_Toc30691"/>
      <w:bookmarkStart w:id="58" w:name="_Toc79333452"/>
      <w:r>
        <w:rPr>
          <w:rFonts w:hint="eastAsia" w:ascii="仿宋" w:hAnsi="仿宋" w:eastAsia="仿宋" w:cstheme="minorBidi"/>
          <w:kern w:val="2"/>
          <w:sz w:val="32"/>
          <w:szCs w:val="32"/>
          <w:highlight w:val="none"/>
          <w:lang w:val="en-US" w:eastAsia="zh-CN" w:bidi="ar-SA"/>
        </w:rPr>
        <w:t>该项目为档案设备购置工作经费，资金已按照年初预算和追加预算申请拨付。主要用于日常办公开支、档案信息化、档案征集、接收、保管利用及档案库房安全防护等档案管理的各个环节,以确保档案管理工作及建立数字化档案馆各个环节正常运转。</w:t>
      </w:r>
    </w:p>
    <w:p>
      <w:pPr>
        <w:pStyle w:val="6"/>
        <w:ind w:firstLine="643" w:firstLineChars="200"/>
        <w:rPr>
          <w:rFonts w:hint="eastAsia" w:ascii="仿宋" w:hAnsi="仿宋" w:eastAsia="仿宋" w:cs="仿宋"/>
          <w:sz w:val="32"/>
          <w:szCs w:val="32"/>
          <w:highlight w:val="none"/>
        </w:rPr>
      </w:pPr>
    </w:p>
    <w:p>
      <w:pPr>
        <w:pStyle w:val="6"/>
        <w:rPr>
          <w:highlight w:val="none"/>
        </w:rPr>
      </w:pPr>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w:t>
      </w:r>
    </w:p>
    <w:p>
      <w:pPr>
        <w:ind w:firstLine="640"/>
        <w:rPr>
          <w:highlight w:val="none"/>
        </w:rPr>
      </w:pPr>
      <w:r>
        <w:rPr>
          <w:rFonts w:hint="eastAsia"/>
          <w:highlight w:val="none"/>
        </w:rPr>
        <w:t>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ind w:firstLine="640"/>
        <w:rPr>
          <w:rFonts w:hint="eastAsia" w:ascii="仿宋_GB2312" w:hAnsi="仿宋" w:eastAsia="仿宋_GB2312" w:cs="仿宋_GB2312"/>
          <w:sz w:val="32"/>
          <w:szCs w:val="32"/>
          <w:highlight w:val="none"/>
          <w:lang w:eastAsia="zh-CN"/>
        </w:rPr>
      </w:pPr>
      <w:r>
        <w:rPr>
          <w:rFonts w:hint="eastAsia" w:ascii="仿宋_GB2312" w:hAnsi="仿宋" w:eastAsia="仿宋_GB2312" w:cs="仿宋_GB2312"/>
          <w:sz w:val="32"/>
          <w:szCs w:val="32"/>
          <w:highlight w:val="none"/>
          <w:lang w:eastAsia="zh-CN"/>
        </w:rPr>
        <w:t>3、</w:t>
      </w:r>
      <w:r>
        <w:rPr>
          <w:rFonts w:hint="eastAsia" w:ascii="仿宋_GB2312" w:eastAsia="仿宋_GB2312" w:cs="仿宋_GB2312"/>
          <w:sz w:val="32"/>
          <w:szCs w:val="32"/>
          <w:highlight w:val="none"/>
          <w:lang w:eastAsia="zh-CN"/>
        </w:rPr>
        <w:t>绩效指标设计存在不足</w:t>
      </w:r>
    </w:p>
    <w:p>
      <w:pPr>
        <w:ind w:firstLine="640"/>
        <w:rPr>
          <w:highlight w:val="none"/>
        </w:rPr>
      </w:pPr>
      <w:r>
        <w:rPr>
          <w:rFonts w:hint="eastAsia" w:ascii="仿宋_GB2312" w:hAnsi="仿宋" w:eastAsia="仿宋_GB2312" w:cs="仿宋_GB2312"/>
          <w:sz w:val="32"/>
          <w:szCs w:val="32"/>
          <w:highlight w:val="none"/>
          <w:lang w:eastAsia="zh-CN"/>
        </w:rPr>
        <w:t>在绩效考评指标的设计上，部分特色指标缺乏数据支持和可行的分析测评，绩效指标体系有待完善</w:t>
      </w:r>
    </w:p>
    <w:p>
      <w:pPr>
        <w:pStyle w:val="5"/>
        <w:rPr>
          <w:highlight w:val="none"/>
        </w:rPr>
      </w:pPr>
      <w:bookmarkStart w:id="59" w:name="_Toc6382"/>
      <w:bookmarkStart w:id="60" w:name="_Toc79333453"/>
      <w:bookmarkStart w:id="61" w:name="_Toc27227"/>
      <w:r>
        <w:rPr>
          <w:rFonts w:hint="eastAsia"/>
          <w:highlight w:val="none"/>
        </w:rPr>
        <w:t>五、建议</w:t>
      </w:r>
      <w:bookmarkEnd w:id="59"/>
      <w:bookmarkEnd w:id="60"/>
      <w:bookmarkEnd w:id="61"/>
    </w:p>
    <w:p>
      <w:pPr>
        <w:pStyle w:val="6"/>
        <w:rPr>
          <w:highlight w:val="none"/>
        </w:rPr>
      </w:pPr>
      <w:bookmarkStart w:id="62" w:name="_Toc18797"/>
      <w:bookmarkStart w:id="63" w:name="_Toc79333454"/>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6"/>
        <w:rPr>
          <w:highlight w:val="none"/>
        </w:rPr>
      </w:pPr>
      <w:bookmarkStart w:id="64" w:name="_Toc79333455"/>
      <w:bookmarkStart w:id="65" w:name="_Toc19326"/>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6"/>
        <w:rPr>
          <w:rFonts w:hint="eastAsia" w:eastAsia="楷体"/>
          <w:highlight w:val="none"/>
          <w:lang w:eastAsia="zh-CN"/>
        </w:rPr>
      </w:pPr>
      <w:bookmarkStart w:id="66" w:name="_Toc24402"/>
      <w:bookmarkStart w:id="67" w:name="_Toc79333456"/>
      <w:r>
        <w:rPr>
          <w:rFonts w:hint="eastAsia"/>
          <w:highlight w:val="none"/>
        </w:rPr>
        <w:t>（三）分析原因，提高</w:t>
      </w:r>
      <w:bookmarkEnd w:id="66"/>
      <w:bookmarkEnd w:id="67"/>
      <w:r>
        <w:rPr>
          <w:rFonts w:hint="eastAsia"/>
          <w:highlight w:val="none"/>
          <w:lang w:eastAsia="zh-CN"/>
        </w:rPr>
        <w:t>绩效管理水平</w:t>
      </w:r>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我局将加强绩效评价管理制度和流程的建设，进一步深化、完善绩效管理体系，建立全过程的预算绩效管理机制，促进绩效管理工作向广度和深度延伸。规范绩效评价管理资料的收集整理，确保相关信息完整、可靠，客观公正地反映项目资金实际使用和产生的绩效状况，为今后该项目实施方向及管理方式的改进提供指导。</w:t>
      </w:r>
    </w:p>
    <w:p>
      <w:pPr>
        <w:pStyle w:val="5"/>
        <w:rPr>
          <w:highlight w:val="none"/>
        </w:rPr>
      </w:pPr>
      <w:bookmarkStart w:id="68" w:name="_Toc79333457"/>
      <w:bookmarkStart w:id="69" w:name="_Toc665"/>
      <w:bookmarkStart w:id="70" w:name="_Toc6061"/>
      <w:r>
        <w:rPr>
          <w:rFonts w:hint="eastAsia"/>
          <w:highlight w:val="none"/>
        </w:rPr>
        <w:t>六、其他需要说明的问题</w:t>
      </w:r>
      <w:bookmarkEnd w:id="68"/>
      <w:bookmarkEnd w:id="69"/>
      <w:bookmarkEnd w:id="70"/>
    </w:p>
    <w:p>
      <w:pPr>
        <w:ind w:firstLine="640"/>
        <w:rPr>
          <w:highlight w:val="none"/>
        </w:rPr>
      </w:pPr>
      <w:r>
        <w:rPr>
          <w:rFonts w:hint="eastAsia"/>
          <w:highlight w:val="none"/>
        </w:rPr>
        <w:t>无</w:t>
      </w:r>
    </w:p>
    <w:p>
      <w:pPr>
        <w:pStyle w:val="5"/>
      </w:pPr>
      <w:bookmarkStart w:id="71" w:name="_Toc3394"/>
      <w:bookmarkStart w:id="72" w:name="_Toc79333458"/>
      <w:bookmarkStart w:id="73" w:name="_Toc61882435"/>
      <w:bookmarkStart w:id="74" w:name="_Toc75871379"/>
      <w:bookmarkStart w:id="75" w:name="_Toc62030119"/>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4" w:type="default"/>
          <w:pgSz w:w="11906" w:h="16838"/>
          <w:pgMar w:top="1440" w:right="1800" w:bottom="1440" w:left="1800" w:header="851" w:footer="737" w:gutter="0"/>
          <w:pgNumType w:fmt="decimal" w:start="1"/>
          <w:cols w:space="0" w:num="1"/>
          <w:docGrid w:linePitch="312" w:charSpace="0"/>
        </w:sectPr>
      </w:pPr>
    </w:p>
    <w:p>
      <w:pPr>
        <w:pStyle w:val="6"/>
      </w:pPr>
      <w:bookmarkStart w:id="76" w:name="_Toc79333459"/>
      <w:bookmarkStart w:id="77" w:name="_Toc8706"/>
      <w:bookmarkStart w:id="78" w:name="_Toc75871380"/>
      <w:bookmarkStart w:id="79" w:name="_Toc61882642"/>
      <w:bookmarkStart w:id="80" w:name="_Toc62030120"/>
      <w:r>
        <w:rPr>
          <w:rFonts w:hint="eastAsia"/>
        </w:rPr>
        <w:t>附件一：项目绩效自评表</w:t>
      </w:r>
      <w:bookmarkEnd w:id="76"/>
      <w:bookmarkEnd w:id="77"/>
      <w:bookmarkEnd w:id="78"/>
      <w:bookmarkEnd w:id="79"/>
      <w:bookmarkEnd w:id="80"/>
    </w:p>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等线">
    <w:altName w:val="宋体"/>
    <w:panose1 w:val="00000000000000000000"/>
    <w:charset w:val="86"/>
    <w:family w:val="auto"/>
    <w:pitch w:val="default"/>
    <w:sig w:usb0="00000000" w:usb1="00000000" w:usb2="00000000" w:usb3="00000000" w:csb0="00000000" w:csb1="00000000"/>
  </w:font>
  <w:font w:name="等线">
    <w:altName w:val="宋体"/>
    <w:panose1 w:val="00000000000000000000"/>
    <w:charset w:val="86"/>
    <w:family w:val="auto"/>
    <w:pitch w:val="default"/>
    <w:sig w:usb0="00000000" w:usb1="00000000" w:usb2="00000000" w:usb3="00000000" w:csb0="00000000" w:csb1="00000000"/>
  </w:font>
  <w:font w:name="等线">
    <w:altName w:val="Latha"/>
    <w:panose1 w:val="00000000000000000000"/>
    <w:charset w:val="00"/>
    <w:family w:val="auto"/>
    <w:pitch w:val="default"/>
    <w:sig w:usb0="00000000" w:usb1="00000000" w:usb2="00000000" w:usb3="00000000" w:csb0="00000000" w:csb1="00000000"/>
  </w:font>
  <w:font w:name="仿宋">
    <w:altName w:val="宋体"/>
    <w:panose1 w:val="02010609060101010101"/>
    <w:charset w:val="86"/>
    <w:family w:val="auto"/>
    <w:pitch w:val="default"/>
    <w:sig w:usb0="00000000" w:usb1="00000000"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Latha">
    <w:panose1 w:val="02000400000000000000"/>
    <w:charset w:val="00"/>
    <w:family w:val="auto"/>
    <w:pitch w:val="default"/>
    <w:sig w:usb0="001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Arial Rounded MT Bold">
    <w:panose1 w:val="020F07040305040302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11"/>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FiNzJhYWJiZDk5YzkxNGRlZWE5ZTdkMDFjMWE5MGE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DD5138"/>
    <w:rsid w:val="07D72202"/>
    <w:rsid w:val="09034D82"/>
    <w:rsid w:val="09083694"/>
    <w:rsid w:val="09AB2202"/>
    <w:rsid w:val="0EE02FCE"/>
    <w:rsid w:val="11D14067"/>
    <w:rsid w:val="1AB642C3"/>
    <w:rsid w:val="1B002515"/>
    <w:rsid w:val="1BA50EE0"/>
    <w:rsid w:val="1C835831"/>
    <w:rsid w:val="1CBF4C66"/>
    <w:rsid w:val="1E734EC5"/>
    <w:rsid w:val="21032E75"/>
    <w:rsid w:val="220A1650"/>
    <w:rsid w:val="22F23AF0"/>
    <w:rsid w:val="2449572C"/>
    <w:rsid w:val="2636356A"/>
    <w:rsid w:val="28577A06"/>
    <w:rsid w:val="2AE845D1"/>
    <w:rsid w:val="2C1B113B"/>
    <w:rsid w:val="2E3C1390"/>
    <w:rsid w:val="30FD39D4"/>
    <w:rsid w:val="340A4177"/>
    <w:rsid w:val="3432633A"/>
    <w:rsid w:val="358D1218"/>
    <w:rsid w:val="360509BD"/>
    <w:rsid w:val="37360FC5"/>
    <w:rsid w:val="390B472B"/>
    <w:rsid w:val="3B080524"/>
    <w:rsid w:val="3CF31F38"/>
    <w:rsid w:val="3E793690"/>
    <w:rsid w:val="408C5853"/>
    <w:rsid w:val="40B05D7B"/>
    <w:rsid w:val="43901938"/>
    <w:rsid w:val="441E6300"/>
    <w:rsid w:val="446B5EBC"/>
    <w:rsid w:val="456434A3"/>
    <w:rsid w:val="468D148D"/>
    <w:rsid w:val="49CC2D3C"/>
    <w:rsid w:val="4CB55F6E"/>
    <w:rsid w:val="4E992DD9"/>
    <w:rsid w:val="503A51A4"/>
    <w:rsid w:val="50C37060"/>
    <w:rsid w:val="52321ABE"/>
    <w:rsid w:val="533F163E"/>
    <w:rsid w:val="55717B4E"/>
    <w:rsid w:val="55F834F4"/>
    <w:rsid w:val="56F53B80"/>
    <w:rsid w:val="5C421C32"/>
    <w:rsid w:val="5CD42C71"/>
    <w:rsid w:val="611B0B6F"/>
    <w:rsid w:val="63BF54E2"/>
    <w:rsid w:val="646273A9"/>
    <w:rsid w:val="646E0F0E"/>
    <w:rsid w:val="65091475"/>
    <w:rsid w:val="65A17FA7"/>
    <w:rsid w:val="66447F6F"/>
    <w:rsid w:val="666D63A3"/>
    <w:rsid w:val="69312D5B"/>
    <w:rsid w:val="6ABB68E5"/>
    <w:rsid w:val="6AEB2D33"/>
    <w:rsid w:val="6BE10979"/>
    <w:rsid w:val="6CBD40C9"/>
    <w:rsid w:val="70493BA2"/>
    <w:rsid w:val="714F744E"/>
    <w:rsid w:val="74303A93"/>
    <w:rsid w:val="74AD3F2D"/>
    <w:rsid w:val="75BB1238"/>
    <w:rsid w:val="77753743"/>
    <w:rsid w:val="789E7920"/>
    <w:rsid w:val="79A57017"/>
    <w:rsid w:val="7BF34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5">
    <w:name w:val="heading 1"/>
    <w:basedOn w:val="1"/>
    <w:next w:val="1"/>
    <w:link w:val="23"/>
    <w:qFormat/>
    <w:uiPriority w:val="9"/>
    <w:pPr>
      <w:keepNext/>
      <w:keepLines/>
      <w:ind w:firstLine="0" w:firstLineChars="0"/>
      <w:jc w:val="left"/>
      <w:outlineLvl w:val="0"/>
    </w:pPr>
    <w:rPr>
      <w:rFonts w:ascii="黑体" w:hAnsi="黑体" w:eastAsia="黑体"/>
      <w:b/>
      <w:bCs/>
      <w:kern w:val="44"/>
    </w:rPr>
  </w:style>
  <w:style w:type="paragraph" w:styleId="6">
    <w:name w:val="heading 2"/>
    <w:basedOn w:val="1"/>
    <w:next w:val="7"/>
    <w:link w:val="21"/>
    <w:unhideWhenUsed/>
    <w:qFormat/>
    <w:uiPriority w:val="9"/>
    <w:pPr>
      <w:keepNext/>
      <w:keepLines/>
      <w:ind w:firstLine="0" w:firstLineChars="0"/>
      <w:jc w:val="left"/>
      <w:outlineLvl w:val="1"/>
    </w:pPr>
    <w:rPr>
      <w:rFonts w:ascii="楷体" w:hAnsi="楷体" w:eastAsia="楷体" w:cstheme="majorBidi"/>
      <w:b/>
      <w:bCs/>
    </w:rPr>
  </w:style>
  <w:style w:type="paragraph" w:styleId="7">
    <w:name w:val="heading 3"/>
    <w:basedOn w:val="1"/>
    <w:next w:val="1"/>
    <w:link w:val="24"/>
    <w:unhideWhenUsed/>
    <w:qFormat/>
    <w:uiPriority w:val="9"/>
    <w:pPr>
      <w:keepNext/>
      <w:keepLines/>
      <w:ind w:firstLine="200"/>
      <w:jc w:val="left"/>
      <w:outlineLvl w:val="2"/>
    </w:pPr>
    <w:rPr>
      <w:rFonts w:ascii="宋体" w:hAnsi="宋体"/>
      <w:b/>
      <w:bCs/>
    </w:rPr>
  </w:style>
  <w:style w:type="paragraph" w:styleId="8">
    <w:name w:val="heading 4"/>
    <w:basedOn w:val="1"/>
    <w:next w:val="1"/>
    <w:link w:val="25"/>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6">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Body Text First Indent1"/>
    <w:basedOn w:val="3"/>
    <w:next w:val="1"/>
    <w:qFormat/>
    <w:uiPriority w:val="0"/>
    <w:pPr>
      <w:spacing w:before="100" w:beforeAutospacing="1"/>
      <w:ind w:firstLine="420" w:firstLineChars="100"/>
    </w:pPr>
    <w:rPr>
      <w:rFonts w:ascii="Times New Roman" w:hAnsi="Times New Roman" w:cs="Times New Roman"/>
    </w:rPr>
  </w:style>
  <w:style w:type="paragraph" w:styleId="3">
    <w:name w:val="Body Text"/>
    <w:basedOn w:val="1"/>
    <w:next w:val="4"/>
    <w:qFormat/>
    <w:uiPriority w:val="0"/>
  </w:style>
  <w:style w:type="paragraph" w:customStyle="1" w:styleId="4">
    <w:name w:val="Body Text 21"/>
    <w:basedOn w:val="1"/>
    <w:qFormat/>
    <w:uiPriority w:val="0"/>
    <w:pPr>
      <w:spacing w:line="480" w:lineRule="auto"/>
    </w:pPr>
  </w:style>
  <w:style w:type="paragraph" w:styleId="9">
    <w:name w:val="annotation text"/>
    <w:basedOn w:val="1"/>
    <w:qFormat/>
    <w:uiPriority w:val="0"/>
    <w:pPr>
      <w:jc w:val="left"/>
    </w:pPr>
  </w:style>
  <w:style w:type="paragraph" w:styleId="10">
    <w:name w:val="toc 3"/>
    <w:basedOn w:val="1"/>
    <w:next w:val="1"/>
    <w:unhideWhenUsed/>
    <w:qFormat/>
    <w:uiPriority w:val="39"/>
    <w:pPr>
      <w:ind w:left="840" w:leftChars="400"/>
    </w:pPr>
  </w:style>
  <w:style w:type="paragraph" w:styleId="11">
    <w:name w:val="footer"/>
    <w:basedOn w:val="1"/>
    <w:link w:val="22"/>
    <w:unhideWhenUsed/>
    <w:qFormat/>
    <w:uiPriority w:val="99"/>
    <w:pPr>
      <w:tabs>
        <w:tab w:val="center" w:pos="4153"/>
        <w:tab w:val="right" w:pos="8306"/>
      </w:tabs>
      <w:spacing w:line="240" w:lineRule="auto"/>
      <w:ind w:firstLine="0" w:firstLineChars="0"/>
      <w:jc w:val="left"/>
    </w:pPr>
    <w:rPr>
      <w:sz w:val="28"/>
      <w:szCs w:val="2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3">
    <w:name w:val="toc 1"/>
    <w:basedOn w:val="1"/>
    <w:next w:val="1"/>
    <w:unhideWhenUsed/>
    <w:qFormat/>
    <w:uiPriority w:val="39"/>
    <w:pPr>
      <w:tabs>
        <w:tab w:val="right" w:leader="dot" w:pos="8296"/>
      </w:tabs>
      <w:ind w:firstLine="0" w:firstLineChars="0"/>
      <w:jc w:val="center"/>
    </w:pPr>
    <w:rPr>
      <w:b/>
    </w:rPr>
  </w:style>
  <w:style w:type="paragraph" w:styleId="14">
    <w:name w:val="toc 2"/>
    <w:basedOn w:val="1"/>
    <w:next w:val="1"/>
    <w:unhideWhenUsed/>
    <w:qFormat/>
    <w:uiPriority w:val="39"/>
    <w:pPr>
      <w:ind w:left="420" w:leftChars="200" w:firstLine="0" w:firstLineChars="0"/>
    </w:pPr>
  </w:style>
  <w:style w:type="paragraph" w:styleId="15">
    <w:name w:val="Normal (Web)"/>
    <w:basedOn w:val="1"/>
    <w:qFormat/>
    <w:uiPriority w:val="0"/>
    <w:pPr>
      <w:widowControl/>
      <w:spacing w:beforeAutospacing="1" w:afterAutospacing="1"/>
      <w:jc w:val="left"/>
    </w:pPr>
    <w:rPr>
      <w:rFonts w:hint="eastAsia" w:ascii="宋体" w:hAnsi="宋体" w:eastAsia="宋体" w:cs="Times New Roman"/>
      <w:kern w:val="0"/>
      <w:sz w:val="24"/>
      <w:szCs w:val="24"/>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9">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20">
    <w:name w:val="表头"/>
    <w:basedOn w:val="1"/>
    <w:next w:val="1"/>
    <w:qFormat/>
    <w:uiPriority w:val="0"/>
    <w:pPr>
      <w:spacing w:before="100" w:after="100"/>
      <w:jc w:val="center"/>
    </w:pPr>
    <w:rPr>
      <w:rFonts w:ascii="Times New Roman" w:hAnsi="Times New Roman"/>
      <w:b/>
      <w:bCs/>
      <w:szCs w:val="28"/>
    </w:rPr>
  </w:style>
  <w:style w:type="character" w:customStyle="1" w:styleId="21">
    <w:name w:val="标题 2 字符"/>
    <w:basedOn w:val="16"/>
    <w:link w:val="6"/>
    <w:qFormat/>
    <w:uiPriority w:val="9"/>
    <w:rPr>
      <w:rFonts w:ascii="楷体" w:hAnsi="楷体" w:eastAsia="楷体" w:cstheme="majorBidi"/>
      <w:b/>
      <w:bCs/>
      <w:kern w:val="2"/>
      <w:sz w:val="32"/>
      <w:szCs w:val="32"/>
    </w:rPr>
  </w:style>
  <w:style w:type="character" w:customStyle="1" w:styleId="22">
    <w:name w:val="页脚 字符"/>
    <w:basedOn w:val="16"/>
    <w:link w:val="11"/>
    <w:qFormat/>
    <w:uiPriority w:val="99"/>
    <w:rPr>
      <w:rFonts w:eastAsia="仿宋"/>
      <w:sz w:val="28"/>
      <w:szCs w:val="28"/>
    </w:rPr>
  </w:style>
  <w:style w:type="character" w:customStyle="1" w:styleId="23">
    <w:name w:val="标题 1 字符"/>
    <w:basedOn w:val="16"/>
    <w:link w:val="5"/>
    <w:qFormat/>
    <w:uiPriority w:val="9"/>
    <w:rPr>
      <w:rFonts w:ascii="黑体" w:hAnsi="黑体" w:eastAsia="黑体"/>
      <w:b/>
      <w:bCs/>
      <w:kern w:val="44"/>
      <w:sz w:val="32"/>
      <w:szCs w:val="32"/>
    </w:rPr>
  </w:style>
  <w:style w:type="character" w:customStyle="1" w:styleId="24">
    <w:name w:val="标题 3 字符"/>
    <w:basedOn w:val="16"/>
    <w:link w:val="7"/>
    <w:qFormat/>
    <w:uiPriority w:val="9"/>
    <w:rPr>
      <w:rFonts w:ascii="宋体" w:hAnsi="宋体" w:eastAsia="仿宋"/>
      <w:b/>
      <w:bCs/>
      <w:kern w:val="2"/>
      <w:sz w:val="32"/>
      <w:szCs w:val="32"/>
    </w:rPr>
  </w:style>
  <w:style w:type="character" w:customStyle="1" w:styleId="25">
    <w:name w:val="标题 4 字符"/>
    <w:basedOn w:val="16"/>
    <w:link w:val="8"/>
    <w:semiHidden/>
    <w:qFormat/>
    <w:uiPriority w:val="9"/>
    <w:rPr>
      <w:rFonts w:asciiTheme="majorHAnsi" w:hAnsiTheme="majorHAnsi" w:eastAsiaTheme="majorEastAsia" w:cstheme="majorBidi"/>
      <w:b/>
      <w:bCs/>
      <w:kern w:val="2"/>
      <w:sz w:val="28"/>
      <w:szCs w:val="28"/>
    </w:rPr>
  </w:style>
  <w:style w:type="paragraph" w:customStyle="1" w:styleId="26">
    <w:name w:val="本模板"/>
    <w:basedOn w:val="1"/>
    <w:next w:val="1"/>
    <w:qFormat/>
    <w:uiPriority w:val="0"/>
    <w:pPr>
      <w:ind w:firstLine="0" w:firstLineChars="0"/>
      <w:jc w:val="center"/>
    </w:pPr>
  </w:style>
  <w:style w:type="paragraph" w:customStyle="1" w:styleId="27">
    <w:name w:val="由"/>
    <w:basedOn w:val="1"/>
    <w:qFormat/>
    <w:uiPriority w:val="0"/>
    <w:pPr>
      <w:ind w:firstLine="0" w:firstLineChars="0"/>
      <w:jc w:val="center"/>
    </w:pPr>
  </w:style>
  <w:style w:type="paragraph" w:customStyle="1" w:styleId="28">
    <w:name w:val="昭元绩效"/>
    <w:basedOn w:val="1"/>
    <w:qFormat/>
    <w:uiPriority w:val="0"/>
    <w:pPr>
      <w:spacing w:line="360" w:lineRule="auto"/>
      <w:ind w:firstLine="0" w:firstLineChars="0"/>
      <w:jc w:val="center"/>
    </w:pPr>
    <w:rPr>
      <w:rFonts w:eastAsia="宋体"/>
      <w:b/>
      <w:bCs/>
      <w:sz w:val="44"/>
      <w:szCs w:val="44"/>
    </w:rPr>
  </w:style>
  <w:style w:type="paragraph" w:customStyle="1" w:styleId="29">
    <w:name w:val="提供"/>
    <w:basedOn w:val="1"/>
    <w:qFormat/>
    <w:uiPriority w:val="0"/>
    <w:pPr>
      <w:ind w:firstLine="0" w:firstLineChars="0"/>
      <w:jc w:val="center"/>
    </w:pPr>
  </w:style>
  <w:style w:type="paragraph" w:customStyle="1" w:styleId="30">
    <w:name w:val="版权所有"/>
    <w:basedOn w:val="1"/>
    <w:qFormat/>
    <w:uiPriority w:val="0"/>
    <w:pPr>
      <w:ind w:firstLine="0" w:firstLineChars="0"/>
      <w:jc w:val="center"/>
    </w:pPr>
  </w:style>
  <w:style w:type="paragraph" w:customStyle="1" w:styleId="31">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microsoft.com/office/2006/relationships/keyMapCustomizations" Target="customizations.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13</Pages>
  <Words>4260</Words>
  <Characters>4464</Characters>
  <Lines>42</Lines>
  <Paragraphs>11</Paragraphs>
  <TotalTime>10</TotalTime>
  <ScaleCrop>false</ScaleCrop>
  <LinksUpToDate>false</LinksUpToDate>
  <CharactersWithSpaces>4503</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Administrator</cp:lastModifiedBy>
  <cp:lastPrinted>2022-08-24T13:28:00Z</cp:lastPrinted>
  <dcterms:modified xsi:type="dcterms:W3CDTF">2022-08-31T08:13:48Z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8040E5319DF8438F9AF461AC7598704D</vt:lpwstr>
  </property>
</Properties>
</file>