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SimHei" w:hAnsi="SimHei" w:eastAsia="SimHei"/>
          <w:sz w:val="32"/>
          <w:szCs w:val="32"/>
          <w:lang w:eastAsia="zh-CN"/>
        </w:rPr>
      </w:pPr>
      <w:r>
        <w:rPr>
          <w:rFonts w:hint="eastAsia" w:ascii="SimHei" w:hAnsi="SimHei" w:eastAsia="SimHei"/>
          <w:sz w:val="32"/>
          <w:szCs w:val="32"/>
        </w:rPr>
        <w:t>附</w:t>
      </w:r>
      <w:r>
        <w:rPr>
          <w:rFonts w:hint="eastAsia" w:ascii="SimHei" w:hAnsi="SimHei" w:eastAsia="SimHei"/>
          <w:sz w:val="32"/>
          <w:szCs w:val="32"/>
          <w:lang w:eastAsia="zh-CN"/>
        </w:rPr>
        <w:t>件一</w:t>
      </w:r>
    </w:p>
    <w:tbl>
      <w:tblPr>
        <w:tblStyle w:val="9"/>
        <w:tblW w:w="10284" w:type="dxa"/>
        <w:jc w:val="center"/>
        <w:tblLayout w:type="fixed"/>
        <w:tblCellMar>
          <w:top w:w="0" w:type="dxa"/>
          <w:left w:w="108" w:type="dxa"/>
          <w:bottom w:w="0" w:type="dxa"/>
          <w:right w:w="108" w:type="dxa"/>
        </w:tblCellMar>
      </w:tblPr>
      <w:tblGrid>
        <w:gridCol w:w="613"/>
        <w:gridCol w:w="964"/>
        <w:gridCol w:w="986"/>
        <w:gridCol w:w="1035"/>
        <w:gridCol w:w="1134"/>
        <w:gridCol w:w="552"/>
        <w:gridCol w:w="1602"/>
        <w:gridCol w:w="236"/>
        <w:gridCol w:w="587"/>
        <w:gridCol w:w="16"/>
        <w:gridCol w:w="490"/>
        <w:gridCol w:w="509"/>
        <w:gridCol w:w="1560"/>
      </w:tblGrid>
      <w:tr>
        <w:tblPrEx>
          <w:tblCellMar>
            <w:top w:w="0" w:type="dxa"/>
            <w:left w:w="108" w:type="dxa"/>
            <w:bottom w:w="0" w:type="dxa"/>
            <w:right w:w="108" w:type="dxa"/>
          </w:tblCellMar>
        </w:tblPrEx>
        <w:trPr>
          <w:trHeight w:val="454" w:hRule="exact"/>
          <w:jc w:val="center"/>
        </w:trPr>
        <w:tc>
          <w:tcPr>
            <w:tcW w:w="10284" w:type="dxa"/>
            <w:gridSpan w:val="13"/>
            <w:tcBorders>
              <w:top w:val="nil"/>
              <w:left w:val="nil"/>
              <w:bottom w:val="nil"/>
              <w:right w:val="nil"/>
            </w:tcBorders>
            <w:noWrap w:val="0"/>
            <w:vAlign w:val="center"/>
          </w:tcPr>
          <w:p>
            <w:pPr>
              <w:widowControl/>
              <w:spacing w:line="320" w:lineRule="exact"/>
              <w:jc w:val="center"/>
              <w:rPr>
                <w:rFonts w:ascii="SimSun" w:hAnsi="SimSun" w:eastAsia="SimSun" w:cs="SimSun"/>
                <w:b/>
                <w:bCs/>
                <w:kern w:val="0"/>
                <w:sz w:val="32"/>
                <w:szCs w:val="32"/>
              </w:rPr>
            </w:pPr>
            <w:r>
              <w:rPr>
                <w:rFonts w:hint="eastAsia" w:ascii="SimSun" w:hAnsi="SimSun" w:eastAsia="SimSun" w:cs="SimSun"/>
                <w:b/>
                <w:bCs/>
                <w:kern w:val="0"/>
                <w:sz w:val="32"/>
                <w:szCs w:val="32"/>
              </w:rPr>
              <w:t>绩效自评表</w:t>
            </w:r>
          </w:p>
        </w:tc>
      </w:tr>
      <w:tr>
        <w:tblPrEx>
          <w:tblCellMar>
            <w:top w:w="0" w:type="dxa"/>
            <w:left w:w="108" w:type="dxa"/>
            <w:bottom w:w="0" w:type="dxa"/>
            <w:right w:w="108" w:type="dxa"/>
          </w:tblCellMar>
        </w:tblPrEx>
        <w:trPr>
          <w:trHeight w:val="201" w:hRule="atLeast"/>
          <w:jc w:val="center"/>
        </w:trPr>
        <w:tc>
          <w:tcPr>
            <w:tcW w:w="10284" w:type="dxa"/>
            <w:gridSpan w:val="13"/>
            <w:tcBorders>
              <w:top w:val="nil"/>
              <w:left w:val="nil"/>
              <w:bottom w:val="nil"/>
              <w:right w:val="nil"/>
            </w:tcBorders>
            <w:noWrap w:val="0"/>
            <w:vAlign w:val="top"/>
          </w:tcPr>
          <w:p>
            <w:pPr>
              <w:widowControl/>
              <w:jc w:val="both"/>
              <w:rPr>
                <w:rFonts w:ascii="SimSun" w:hAnsi="SimSun" w:eastAsia="SimSun" w:cs="SimSun"/>
                <w:kern w:val="0"/>
                <w:sz w:val="22"/>
                <w:szCs w:val="22"/>
              </w:rPr>
            </w:pPr>
            <w:r>
              <w:rPr>
                <w:rFonts w:hint="eastAsia" w:ascii="SimSun" w:hAnsi="SimSun" w:eastAsia="SimSun" w:cs="SimSun"/>
                <w:kern w:val="0"/>
                <w:sz w:val="22"/>
                <w:szCs w:val="22"/>
                <w:lang w:eastAsia="zh-CN"/>
              </w:rPr>
              <w:t>太康县档案局</w:t>
            </w:r>
            <w:r>
              <w:rPr>
                <w:rFonts w:hint="eastAsia" w:ascii="SimSun" w:hAnsi="SimSun" w:eastAsia="SimSun" w:cs="SimSun"/>
                <w:kern w:val="0"/>
                <w:sz w:val="22"/>
                <w:szCs w:val="22"/>
                <w:lang w:val="en-US" w:eastAsia="zh-CN"/>
              </w:rPr>
              <w:t xml:space="preserve">                    </w:t>
            </w:r>
            <w:r>
              <w:rPr>
                <w:rFonts w:hint="eastAsia" w:ascii="SimSun" w:hAnsi="SimSun" w:eastAsia="SimSun" w:cs="SimSun"/>
                <w:kern w:val="0"/>
                <w:sz w:val="22"/>
                <w:szCs w:val="22"/>
              </w:rPr>
              <w:t xml:space="preserve">（  </w:t>
            </w:r>
            <w:r>
              <w:rPr>
                <w:rFonts w:hint="eastAsia" w:ascii="SimSun" w:hAnsi="SimSun" w:eastAsia="SimSun" w:cs="SimSun"/>
                <w:kern w:val="0"/>
                <w:sz w:val="22"/>
                <w:szCs w:val="22"/>
                <w:lang w:val="en-US" w:eastAsia="zh-CN"/>
              </w:rPr>
              <w:t>2021</w:t>
            </w:r>
            <w:r>
              <w:rPr>
                <w:rFonts w:hint="eastAsia" w:ascii="SimSun" w:hAnsi="SimSun" w:eastAsia="SimSun" w:cs="SimSun"/>
                <w:kern w:val="0"/>
                <w:sz w:val="22"/>
                <w:szCs w:val="22"/>
              </w:rPr>
              <w:t>年度）</w:t>
            </w:r>
          </w:p>
        </w:tc>
      </w:tr>
      <w:tr>
        <w:tblPrEx>
          <w:tblCellMar>
            <w:top w:w="0" w:type="dxa"/>
            <w:left w:w="108" w:type="dxa"/>
            <w:bottom w:w="0" w:type="dxa"/>
            <w:right w:w="108" w:type="dxa"/>
          </w:tblCellMar>
        </w:tblPrEx>
        <w:trPr>
          <w:trHeight w:val="300" w:hRule="exact"/>
          <w:jc w:val="center"/>
        </w:trPr>
        <w:tc>
          <w:tcPr>
            <w:tcW w:w="157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项目名称</w:t>
            </w:r>
          </w:p>
        </w:tc>
        <w:tc>
          <w:tcPr>
            <w:tcW w:w="870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档案馆智能及手动密集架档案装备购置</w:t>
            </w:r>
          </w:p>
        </w:tc>
      </w:tr>
      <w:tr>
        <w:tblPrEx>
          <w:tblCellMar>
            <w:top w:w="0" w:type="dxa"/>
            <w:left w:w="108" w:type="dxa"/>
            <w:bottom w:w="0" w:type="dxa"/>
            <w:right w:w="108" w:type="dxa"/>
          </w:tblCellMar>
        </w:tblPrEx>
        <w:trPr>
          <w:trHeight w:val="300" w:hRule="exact"/>
          <w:jc w:val="center"/>
        </w:trPr>
        <w:tc>
          <w:tcPr>
            <w:tcW w:w="157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主管部门</w:t>
            </w:r>
          </w:p>
        </w:tc>
        <w:tc>
          <w:tcPr>
            <w:tcW w:w="530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太康县档案局</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实施单位</w:t>
            </w:r>
          </w:p>
        </w:tc>
        <w:tc>
          <w:tcPr>
            <w:tcW w:w="316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太康县档案局</w:t>
            </w:r>
          </w:p>
        </w:tc>
      </w:tr>
      <w:tr>
        <w:tblPrEx>
          <w:tblCellMar>
            <w:top w:w="0" w:type="dxa"/>
            <w:left w:w="108" w:type="dxa"/>
            <w:bottom w:w="0" w:type="dxa"/>
            <w:right w:w="108" w:type="dxa"/>
          </w:tblCellMar>
        </w:tblPrEx>
        <w:trPr>
          <w:trHeight w:val="300" w:hRule="exact"/>
          <w:jc w:val="center"/>
        </w:trPr>
        <w:tc>
          <w:tcPr>
            <w:tcW w:w="157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项目资金</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（万元）</w:t>
            </w:r>
          </w:p>
        </w:tc>
        <w:tc>
          <w:tcPr>
            <w:tcW w:w="20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年初预算数</w:t>
            </w:r>
          </w:p>
        </w:tc>
        <w:tc>
          <w:tcPr>
            <w:tcW w:w="21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highlight w:val="none"/>
              </w:rPr>
            </w:pPr>
            <w:r>
              <w:rPr>
                <w:rFonts w:hint="eastAsia" w:ascii="SimSun" w:hAnsi="SimSun" w:eastAsia="SimSun" w:cs="SimSun"/>
                <w:kern w:val="0"/>
                <w:sz w:val="18"/>
                <w:szCs w:val="18"/>
                <w:highlight w:val="none"/>
              </w:rPr>
              <w:t>全年预算数</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highlight w:val="none"/>
              </w:rPr>
            </w:pPr>
            <w:r>
              <w:rPr>
                <w:rFonts w:hint="eastAsia" w:ascii="SimSun" w:hAnsi="SimSun" w:eastAsia="SimSun" w:cs="SimSun"/>
                <w:kern w:val="0"/>
                <w:sz w:val="18"/>
                <w:szCs w:val="18"/>
                <w:highlight w:val="none"/>
              </w:rPr>
              <w:t>全年执行数</w:t>
            </w:r>
          </w:p>
        </w:tc>
        <w:tc>
          <w:tcPr>
            <w:tcW w:w="60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9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执行率</w:t>
            </w:r>
          </w:p>
        </w:tc>
        <w:tc>
          <w:tcPr>
            <w:tcW w:w="1560"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r>
      <w:tr>
        <w:tblPrEx>
          <w:tblCellMar>
            <w:top w:w="0" w:type="dxa"/>
            <w:left w:w="108" w:type="dxa"/>
            <w:bottom w:w="0" w:type="dxa"/>
            <w:right w:w="108" w:type="dxa"/>
          </w:tblCellMar>
        </w:tblPrEx>
        <w:trPr>
          <w:trHeight w:val="300" w:hRule="exact"/>
          <w:jc w:val="center"/>
        </w:trPr>
        <w:tc>
          <w:tcPr>
            <w:tcW w:w="157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0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SimSun" w:hAnsi="SimSun" w:eastAsia="SimSun" w:cs="SimSun"/>
                <w:kern w:val="0"/>
                <w:sz w:val="18"/>
                <w:szCs w:val="18"/>
              </w:rPr>
            </w:pPr>
            <w:r>
              <w:rPr>
                <w:rFonts w:hint="eastAsia" w:ascii="SimSun" w:hAnsi="SimSun" w:eastAsia="SimSun" w:cs="SimSu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45.46</w:t>
            </w:r>
          </w:p>
        </w:tc>
        <w:tc>
          <w:tcPr>
            <w:tcW w:w="21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45.46</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45.4566</w:t>
            </w:r>
          </w:p>
        </w:tc>
        <w:tc>
          <w:tcPr>
            <w:tcW w:w="60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w:t>
            </w:r>
          </w:p>
        </w:tc>
        <w:tc>
          <w:tcPr>
            <w:tcW w:w="9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15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7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0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45.46</w:t>
            </w:r>
          </w:p>
        </w:tc>
        <w:tc>
          <w:tcPr>
            <w:tcW w:w="21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45.46</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45.4566</w:t>
            </w:r>
          </w:p>
        </w:tc>
        <w:tc>
          <w:tcPr>
            <w:tcW w:w="60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9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1560"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57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0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21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60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9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p>
        </w:tc>
        <w:tc>
          <w:tcPr>
            <w:tcW w:w="1560"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57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0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21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2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60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9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60"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61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年度总体目标</w:t>
            </w:r>
          </w:p>
        </w:tc>
        <w:tc>
          <w:tcPr>
            <w:tcW w:w="627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预期目标</w:t>
            </w:r>
          </w:p>
        </w:tc>
        <w:tc>
          <w:tcPr>
            <w:tcW w:w="339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实际完成情况</w:t>
            </w:r>
          </w:p>
        </w:tc>
      </w:tr>
      <w:tr>
        <w:tblPrEx>
          <w:tblCellMar>
            <w:top w:w="0" w:type="dxa"/>
            <w:left w:w="108" w:type="dxa"/>
            <w:bottom w:w="0" w:type="dxa"/>
            <w:right w:w="108" w:type="dxa"/>
          </w:tblCellMar>
        </w:tblPrEx>
        <w:trPr>
          <w:trHeight w:val="882" w:hRule="exact"/>
          <w:jc w:val="center"/>
        </w:trPr>
        <w:tc>
          <w:tcPr>
            <w:tcW w:w="6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627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108"/>
              <w:textAlignment w:val="auto"/>
              <w:rPr>
                <w:rFonts w:hint="eastAsia" w:ascii="SimSun" w:hAnsi="SimSun" w:eastAsia="SimSun" w:cs="SimSun"/>
                <w:sz w:val="21"/>
                <w:szCs w:val="21"/>
                <w:lang w:val="en-US" w:eastAsia="zh-CN"/>
              </w:rPr>
            </w:pPr>
            <w:r>
              <w:rPr>
                <w:rFonts w:hint="eastAsia" w:ascii="SimSun" w:hAnsi="SimSun" w:eastAsia="SimSun" w:cs="SimSun"/>
                <w:color w:val="000000"/>
                <w:sz w:val="21"/>
                <w:szCs w:val="21"/>
              </w:rPr>
              <w:t>目标1：</w:t>
            </w:r>
            <w:r>
              <w:rPr>
                <w:rFonts w:hint="eastAsia" w:ascii="SimSun" w:hAnsi="SimSun" w:eastAsia="SimSun" w:cs="SimSun"/>
                <w:color w:val="000000"/>
                <w:sz w:val="21"/>
                <w:szCs w:val="21"/>
                <w:lang w:eastAsia="zh-CN"/>
              </w:rPr>
              <w:t>馆藏档案数字化</w:t>
            </w:r>
            <w:r>
              <w:rPr>
                <w:rFonts w:hint="eastAsia" w:ascii="SimSun" w:hAnsi="SimSun" w:eastAsia="SimSun" w:cs="SimSun"/>
                <w:color w:val="000000"/>
                <w:sz w:val="21"/>
                <w:szCs w:val="21"/>
                <w:lang w:val="en-US" w:eastAsia="zh-CN"/>
              </w:rPr>
              <w:t>；</w:t>
            </w:r>
          </w:p>
          <w:p>
            <w:pPr>
              <w:widowControl/>
              <w:spacing w:line="240" w:lineRule="exact"/>
              <w:jc w:val="center"/>
              <w:rPr>
                <w:rFonts w:ascii="SimSun" w:hAnsi="SimSun" w:eastAsia="SimSun" w:cs="SimSun"/>
                <w:kern w:val="0"/>
                <w:sz w:val="18"/>
                <w:szCs w:val="18"/>
              </w:rPr>
            </w:pPr>
          </w:p>
        </w:tc>
        <w:tc>
          <w:tcPr>
            <w:tcW w:w="339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r>
      <w:tr>
        <w:tblPrEx>
          <w:tblCellMar>
            <w:top w:w="0" w:type="dxa"/>
            <w:left w:w="108" w:type="dxa"/>
            <w:bottom w:w="0" w:type="dxa"/>
            <w:right w:w="108" w:type="dxa"/>
          </w:tblCellMar>
        </w:tblPrEx>
        <w:trPr>
          <w:trHeight w:val="533" w:hRule="exact"/>
          <w:jc w:val="center"/>
        </w:trPr>
        <w:tc>
          <w:tcPr>
            <w:tcW w:w="61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绩</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效</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指</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标</w:t>
            </w:r>
          </w:p>
        </w:tc>
        <w:tc>
          <w:tcPr>
            <w:tcW w:w="964"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一级指标</w:t>
            </w:r>
          </w:p>
        </w:tc>
        <w:tc>
          <w:tcPr>
            <w:tcW w:w="98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二级指标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三级指标</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指标值</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完成值</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产出指标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30分</w:t>
            </w:r>
            <w:r>
              <w:rPr>
                <w:rFonts w:hint="eastAsia" w:ascii="SimSun" w:hAnsi="SimSun" w:eastAsia="SimSun" w:cs="SimSun"/>
                <w:kern w:val="0"/>
                <w:sz w:val="18"/>
                <w:szCs w:val="18"/>
                <w:lang w:eastAsia="zh-CN"/>
              </w:rPr>
              <w:t>）</w:t>
            </w: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数量指标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智能密集架</w:t>
            </w:r>
            <w:r>
              <w:rPr>
                <w:rFonts w:hint="eastAsia" w:ascii="SimSun" w:hAnsi="SimSun" w:eastAsia="SimSun" w:cs="SimSun"/>
                <w:color w:val="000000"/>
                <w:kern w:val="0"/>
                <w:sz w:val="18"/>
                <w:szCs w:val="18"/>
                <w:lang w:val="en-US" w:eastAsia="zh-CN"/>
              </w:rPr>
              <w:t>608立方米</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设备生产完工</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tabs>
                <w:tab w:val="center" w:pos="966"/>
              </w:tabs>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eastAsia="zh-CN"/>
              </w:rPr>
              <w:t>环境监控系统一套</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设备生产完工</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w:t>
            </w:r>
            <w:r>
              <w:rPr>
                <w:rFonts w:hint="eastAsia" w:ascii="SimSun" w:hAnsi="SimSun" w:eastAsia="SimSun" w:cs="SimSun"/>
                <w:color w:val="000000"/>
                <w:kern w:val="0"/>
                <w:sz w:val="18"/>
                <w:szCs w:val="18"/>
                <w:lang w:val="en-US" w:eastAsia="zh-CN"/>
              </w:rPr>
              <w:t>3：手动密集架1450立方米</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设备生产完工</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质量指标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设备生产符合合同要求</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val="en-US" w:eastAsia="zh-CN"/>
              </w:rPr>
              <w:t>设备生产符合合同要求</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lang w:val="en-US" w:eastAsia="zh-CN"/>
              </w:rPr>
              <w:t>指标3：设备生产符合合同要求</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96"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时效指标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按合同约定</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按时</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按时</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成本指标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严格按预算执行</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eastAsia="zh-CN"/>
              </w:rPr>
              <w:t>合同数额的</w:t>
            </w:r>
            <w:r>
              <w:rPr>
                <w:rFonts w:hint="eastAsia" w:ascii="SimSun" w:hAnsi="SimSun" w:eastAsia="SimSun" w:cs="SimSun"/>
                <w:kern w:val="0"/>
                <w:sz w:val="18"/>
                <w:szCs w:val="18"/>
                <w:lang w:val="en-US" w:eastAsia="zh-CN"/>
              </w:rPr>
              <w:t>30%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33%</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财政资金紧张</w:t>
            </w: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w:t>
            </w:r>
            <w:r>
              <w:rPr>
                <w:rFonts w:hint="eastAsia" w:ascii="SimSun" w:hAnsi="SimSun" w:eastAsia="SimSun" w:cs="SimSun"/>
                <w:color w:val="000000"/>
                <w:kern w:val="0"/>
                <w:sz w:val="18"/>
                <w:szCs w:val="18"/>
                <w:lang w:val="en-US" w:eastAsia="zh-CN"/>
              </w:rPr>
              <w:t>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严格按预算执行</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eastAsia="zh-CN"/>
              </w:rPr>
              <w:t>合同数额的</w:t>
            </w:r>
            <w:r>
              <w:rPr>
                <w:rFonts w:hint="eastAsia" w:ascii="SimSun" w:hAnsi="SimSun" w:eastAsia="SimSun" w:cs="SimSun"/>
                <w:kern w:val="0"/>
                <w:sz w:val="18"/>
                <w:szCs w:val="18"/>
                <w:lang w:val="en-US" w:eastAsia="zh-CN"/>
              </w:rPr>
              <w:t>30%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33%</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财政资金紧张</w:t>
            </w:r>
          </w:p>
        </w:tc>
      </w:tr>
      <w:tr>
        <w:tblPrEx>
          <w:tblCellMar>
            <w:top w:w="0" w:type="dxa"/>
            <w:left w:w="108" w:type="dxa"/>
            <w:bottom w:w="0" w:type="dxa"/>
            <w:right w:w="108" w:type="dxa"/>
          </w:tblCellMar>
        </w:tblPrEx>
        <w:trPr>
          <w:trHeight w:val="447"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效益指标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40分</w:t>
            </w:r>
            <w:r>
              <w:rPr>
                <w:rFonts w:hint="eastAsia" w:ascii="SimSun" w:hAnsi="SimSun" w:eastAsia="SimSun" w:cs="SimSun"/>
                <w:kern w:val="0"/>
                <w:sz w:val="18"/>
                <w:szCs w:val="18"/>
                <w:lang w:eastAsia="zh-CN"/>
              </w:rPr>
              <w:t>）</w:t>
            </w: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经济效益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 xml:space="preserve"> </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不产生经济效益</w:t>
            </w: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eastAsia="zh-CN"/>
              </w:rPr>
              <w:t>不产生经济效益</w:t>
            </w:r>
          </w:p>
        </w:tc>
      </w:tr>
      <w:tr>
        <w:tblPrEx>
          <w:tblCellMar>
            <w:top w:w="0" w:type="dxa"/>
            <w:left w:w="108" w:type="dxa"/>
            <w:bottom w:w="0" w:type="dxa"/>
            <w:right w:w="108" w:type="dxa"/>
          </w:tblCellMar>
        </w:tblPrEx>
        <w:trPr>
          <w:trHeight w:val="375"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eastAsia="zh-CN"/>
              </w:rPr>
              <w:t>指标</w:t>
            </w:r>
            <w:r>
              <w:rPr>
                <w:rFonts w:hint="eastAsia" w:ascii="SimSun" w:hAnsi="SimSun" w:eastAsia="SimSun" w:cs="SimSun"/>
                <w:color w:val="000000"/>
                <w:kern w:val="0"/>
                <w:sz w:val="18"/>
                <w:szCs w:val="18"/>
                <w:lang w:val="en-US" w:eastAsia="zh-CN"/>
              </w:rPr>
              <w:t>3：</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eastAsia="zh-CN"/>
              </w:rPr>
              <w:t>不产生经济效益</w:t>
            </w:r>
          </w:p>
        </w:tc>
      </w:tr>
      <w:tr>
        <w:tblPrEx>
          <w:tblCellMar>
            <w:top w:w="0" w:type="dxa"/>
            <w:left w:w="108" w:type="dxa"/>
            <w:bottom w:w="0" w:type="dxa"/>
            <w:right w:w="108" w:type="dxa"/>
          </w:tblCellMar>
        </w:tblPrEx>
        <w:trPr>
          <w:trHeight w:val="542"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社会效益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bidi="ar-SA"/>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保障档案安全</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87"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w:t>
            </w:r>
            <w:r>
              <w:rPr>
                <w:rFonts w:hint="eastAsia" w:ascii="SimSun" w:hAnsi="SimSun" w:eastAsia="SimSun" w:cs="SimSun"/>
                <w:color w:val="000000"/>
                <w:kern w:val="0"/>
                <w:sz w:val="18"/>
                <w:szCs w:val="18"/>
                <w:lang w:val="en-US" w:eastAsia="zh-CN"/>
              </w:rPr>
              <w:t>1、</w:t>
            </w:r>
            <w:r>
              <w:rPr>
                <w:rFonts w:hint="eastAsia" w:ascii="SimSun" w:hAnsi="SimSun" w:eastAsia="SimSun" w:cs="SimSun"/>
                <w:color w:val="000000"/>
                <w:kern w:val="0"/>
                <w:sz w:val="18"/>
                <w:szCs w:val="18"/>
              </w:rPr>
              <w:t>2</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有助于社会发展</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bidi="ar-SA"/>
              </w:rPr>
              <w:t>10</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bidi="ar-SA"/>
              </w:rPr>
              <w:t xml:space="preserve"> 10</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生态效益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val="en-US" w:eastAsia="zh-CN"/>
              </w:rPr>
              <w:t xml:space="preserve"> 档案装备环保</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环保</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环保 </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5</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5 </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92"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可持续影响指标</w:t>
            </w: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利于档案保管、服务社会发展</w:t>
            </w: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可持续</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可持续</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rPr>
            </w:pPr>
            <w:r>
              <w:rPr>
                <w:rFonts w:hint="eastAsia" w:ascii="SimSun" w:hAnsi="SimSun" w:eastAsia="SimSun" w:cs="SimSun"/>
                <w:kern w:val="0"/>
                <w:sz w:val="18"/>
                <w:szCs w:val="18"/>
                <w:lang w:val="en-US" w:eastAsia="zh-CN"/>
              </w:rPr>
              <w:t>10</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rPr>
            </w:pPr>
            <w:r>
              <w:rPr>
                <w:rFonts w:hint="eastAsia" w:ascii="SimSun" w:hAnsi="SimSun" w:eastAsia="SimSun" w:cs="SimSun"/>
                <w:kern w:val="0"/>
                <w:sz w:val="18"/>
                <w:szCs w:val="18"/>
                <w:lang w:val="en-US" w:eastAsia="zh-CN"/>
              </w:rPr>
              <w:t>10</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567"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bidi="ar-SA"/>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504"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restart"/>
            <w:tcBorders>
              <w:top w:val="nil"/>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满意度</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20分</w:t>
            </w:r>
            <w:r>
              <w:rPr>
                <w:rFonts w:hint="eastAsia" w:ascii="SimSun" w:hAnsi="SimSun" w:eastAsia="SimSun" w:cs="SimSun"/>
                <w:kern w:val="0"/>
                <w:sz w:val="18"/>
                <w:szCs w:val="18"/>
                <w:lang w:eastAsia="zh-CN"/>
              </w:rPr>
              <w:t>）</w:t>
            </w:r>
          </w:p>
        </w:tc>
        <w:tc>
          <w:tcPr>
            <w:tcW w:w="9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服务对象满意度指标</w:t>
            </w:r>
          </w:p>
        </w:tc>
        <w:tc>
          <w:tcPr>
            <w:tcW w:w="272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4" w:lineRule="exact"/>
              <w:ind w:left="0"/>
              <w:jc w:val="both"/>
              <w:textAlignment w:val="auto"/>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w:t>
            </w:r>
            <w:r>
              <w:rPr>
                <w:rFonts w:hint="eastAsia" w:ascii="SimSun" w:hAnsi="SimSun" w:eastAsia="SimSun" w:cs="SimSun"/>
                <w:color w:val="000000"/>
                <w:kern w:val="0"/>
                <w:sz w:val="18"/>
                <w:szCs w:val="18"/>
                <w:lang w:val="en-US" w:eastAsia="zh-CN"/>
              </w:rPr>
              <w:t>2、3</w:t>
            </w:r>
            <w:r>
              <w:rPr>
                <w:rFonts w:hint="eastAsia" w:ascii="SimSun" w:hAnsi="SimSun" w:eastAsia="SimSun" w:cs="SimSun"/>
                <w:color w:val="000000"/>
                <w:kern w:val="0"/>
                <w:sz w:val="18"/>
                <w:szCs w:val="18"/>
              </w:rPr>
              <w:t>：</w:t>
            </w:r>
            <w:r>
              <w:rPr>
                <w:rFonts w:hint="eastAsia" w:ascii="SimSun" w:hAnsi="SimSun" w:eastAsia="SimSun" w:cs="SimSun"/>
                <w:color w:val="000000"/>
                <w:kern w:val="0"/>
                <w:sz w:val="18"/>
                <w:szCs w:val="18"/>
                <w:lang w:eastAsia="zh-CN"/>
              </w:rPr>
              <w:t>利用</w:t>
            </w:r>
            <w:r>
              <w:rPr>
                <w:rFonts w:hint="eastAsia" w:ascii="SimSun" w:hAnsi="SimSun" w:eastAsia="SimSun" w:cs="SimSun"/>
                <w:color w:val="000000"/>
                <w:kern w:val="0"/>
                <w:sz w:val="18"/>
                <w:szCs w:val="18"/>
                <w:lang w:val="en-US" w:eastAsia="zh-CN"/>
              </w:rPr>
              <w:t>满意度</w:t>
            </w:r>
          </w:p>
          <w:p>
            <w:pPr>
              <w:widowControl/>
              <w:spacing w:line="240" w:lineRule="exact"/>
              <w:jc w:val="left"/>
              <w:rPr>
                <w:rFonts w:ascii="SimSun" w:hAnsi="SimSun" w:eastAsia="SimSun" w:cs="SimSun"/>
                <w:color w:val="000000"/>
                <w:kern w:val="0"/>
                <w:sz w:val="18"/>
                <w:szCs w:val="18"/>
              </w:rPr>
            </w:pP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600" w:hRule="exact"/>
          <w:jc w:val="center"/>
        </w:trPr>
        <w:tc>
          <w:tcPr>
            <w:tcW w:w="613"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4"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72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p>
        </w:tc>
        <w:tc>
          <w:tcPr>
            <w:tcW w:w="160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82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770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总分</w:t>
            </w:r>
          </w:p>
        </w:tc>
        <w:tc>
          <w:tcPr>
            <w:tcW w:w="50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100</w:t>
            </w:r>
          </w:p>
        </w:tc>
        <w:tc>
          <w:tcPr>
            <w:tcW w:w="50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val="en-US" w:eastAsia="zh-CN"/>
              </w:rPr>
              <w:t>100</w:t>
            </w:r>
          </w:p>
        </w:tc>
        <w:tc>
          <w:tcPr>
            <w:tcW w:w="15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bl>
    <w:p>
      <w:pPr>
        <w:rPr>
          <w:rFonts w:hint="eastAsia" w:ascii="SimSun" w:hAnsi="SimSun" w:eastAsia="SimSun" w:cs="SimSun"/>
          <w:kern w:val="0"/>
          <w:sz w:val="18"/>
          <w:szCs w:val="18"/>
          <w:lang w:val="en-US" w:eastAsia="zh-CN"/>
        </w:rPr>
      </w:pPr>
    </w:p>
    <w:p>
      <w:pPr>
        <w:ind w:firstLine="360" w:firstLineChars="200"/>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填表人：王志凌                               联系电话：15290055988</w:t>
      </w:r>
    </w:p>
    <w:p>
      <w:pPr>
        <w:rPr>
          <w:rFonts w:hint="default" w:ascii="SimSun" w:hAnsi="SimSun" w:eastAsia="SimSun" w:cs="SimSun"/>
          <w:kern w:val="0"/>
          <w:sz w:val="18"/>
          <w:szCs w:val="18"/>
          <w:lang w:val="en-US" w:eastAsia="zh-CN"/>
        </w:rPr>
      </w:pPr>
    </w:p>
    <w:p>
      <w:pPr>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附件</w:t>
      </w:r>
      <w:r>
        <w:rPr>
          <w:rFonts w:hint="eastAsia" w:ascii="FangSong" w:hAnsi="FangSong" w:eastAsia="FangSong" w:cs="SimSun"/>
          <w:color w:val="333333"/>
          <w:kern w:val="0"/>
          <w:sz w:val="32"/>
          <w:szCs w:val="32"/>
          <w:lang w:val="en-US" w:eastAsia="zh-CN"/>
        </w:rPr>
        <w:t>二</w:t>
      </w:r>
      <w:r>
        <w:rPr>
          <w:rFonts w:hint="default" w:ascii="FangSong" w:hAnsi="FangSong" w:eastAsia="FangSong" w:cs="SimSun"/>
          <w:color w:val="333333"/>
          <w:kern w:val="0"/>
          <w:sz w:val="32"/>
          <w:szCs w:val="32"/>
          <w:lang w:val="en-US" w:eastAsia="zh-CN"/>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62" w:lineRule="atLeast"/>
        <w:ind w:left="0" w:right="0"/>
        <w:jc w:val="center"/>
        <w:rPr>
          <w:rFonts w:hint="eastAsia"/>
          <w:b w:val="0"/>
          <w:bCs/>
          <w:i w:val="0"/>
          <w:caps w:val="0"/>
          <w:color w:val="000000"/>
          <w:spacing w:val="0"/>
          <w:sz w:val="44"/>
          <w:szCs w:val="44"/>
          <w:shd w:val="clear" w:fill="FFFFFF"/>
          <w:lang w:val="en-US" w:eastAsia="zh-CN"/>
        </w:rPr>
      </w:pPr>
      <w:r>
        <w:rPr>
          <w:rFonts w:hint="eastAsia"/>
          <w:b w:val="0"/>
          <w:bCs/>
          <w:i w:val="0"/>
          <w:caps w:val="0"/>
          <w:color w:val="000000"/>
          <w:spacing w:val="0"/>
          <w:sz w:val="44"/>
          <w:szCs w:val="44"/>
          <w:shd w:val="clear" w:fill="FFFFFF"/>
          <w:lang w:val="en-US" w:eastAsia="zh-CN"/>
        </w:rPr>
        <w:t>2021年度县本级预算绩效项目自评报告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62" w:lineRule="atLeast"/>
        <w:ind w:left="0" w:right="0"/>
        <w:jc w:val="center"/>
        <w:rPr>
          <w:rFonts w:hint="eastAsia"/>
          <w:b w:val="0"/>
          <w:bCs/>
          <w:i w:val="0"/>
          <w:caps w:val="0"/>
          <w:color w:val="000000"/>
          <w:spacing w:val="0"/>
          <w:sz w:val="30"/>
          <w:szCs w:val="30"/>
          <w:shd w:val="clear" w:fill="FFFFFF"/>
          <w:lang w:val="en-US" w:eastAsia="zh-CN"/>
        </w:rPr>
      </w:pPr>
      <w:r>
        <w:rPr>
          <w:rFonts w:hint="eastAsia"/>
          <w:b/>
          <w:i w:val="0"/>
          <w:caps w:val="0"/>
          <w:color w:val="000000"/>
          <w:spacing w:val="0"/>
          <w:sz w:val="28"/>
          <w:szCs w:val="28"/>
          <w:shd w:val="clear" w:fill="FFFFFF"/>
          <w:lang w:val="en-US" w:eastAsia="zh-CN"/>
        </w:rPr>
        <w:t xml:space="preserve">          </w:t>
      </w:r>
      <w:r>
        <w:rPr>
          <w:rFonts w:hint="eastAsia"/>
          <w:b w:val="0"/>
          <w:bCs/>
          <w:i w:val="0"/>
          <w:caps w:val="0"/>
          <w:color w:val="000000"/>
          <w:spacing w:val="0"/>
          <w:sz w:val="30"/>
          <w:szCs w:val="30"/>
          <w:shd w:val="clear" w:fill="FFFFFF"/>
          <w:lang w:val="en-US" w:eastAsia="zh-CN"/>
        </w:rPr>
        <w:t xml:space="preserve">          ——档案馆智能及手动密集架装备购置费</w:t>
      </w:r>
    </w:p>
    <w:p>
      <w:pPr>
        <w:jc w:val="both"/>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一、项目基本情况</w:t>
      </w:r>
    </w:p>
    <w:p>
      <w:pPr>
        <w:jc w:val="both"/>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（－）项目立项情况</w:t>
      </w:r>
    </w:p>
    <w:p>
      <w:pPr>
        <w:numPr>
          <w:ilvl w:val="0"/>
          <w:numId w:val="1"/>
        </w:numPr>
        <w:jc w:val="both"/>
        <w:rPr>
          <w:rFonts w:hint="eastAsia"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项目立项背景。</w:t>
      </w:r>
    </w:p>
    <w:p>
      <w:pPr>
        <w:ind w:firstLine="560" w:firstLineChars="200"/>
        <w:rPr>
          <w:rFonts w:hint="eastAsia" w:asciiTheme="minorEastAsia" w:hAnsiTheme="minorEastAsia" w:eastAsiaTheme="minorEastAsia" w:cstheme="minorEastAsia"/>
          <w:b w:val="0"/>
          <w:bCs/>
          <w:sz w:val="28"/>
          <w:szCs w:val="28"/>
        </w:rPr>
      </w:pPr>
      <w:r>
        <w:rPr>
          <w:rFonts w:hint="eastAsia" w:asciiTheme="minorEastAsia" w:hAnsiTheme="minorEastAsia" w:cstheme="minorEastAsia"/>
          <w:b w:val="0"/>
          <w:bCs/>
          <w:i w:val="0"/>
          <w:caps w:val="0"/>
          <w:color w:val="333333"/>
          <w:spacing w:val="0"/>
          <w:sz w:val="28"/>
          <w:szCs w:val="28"/>
          <w:shd w:val="clear" w:fill="FFFFFF"/>
          <w:lang w:eastAsia="zh-CN"/>
        </w:rPr>
        <w:t>太康县综合档案馆新馆已于</w:t>
      </w:r>
      <w:r>
        <w:rPr>
          <w:rFonts w:hint="eastAsia" w:asciiTheme="minorEastAsia" w:hAnsiTheme="minorEastAsia" w:cstheme="minorEastAsia"/>
          <w:b w:val="0"/>
          <w:bCs/>
          <w:i w:val="0"/>
          <w:caps w:val="0"/>
          <w:color w:val="333333"/>
          <w:spacing w:val="0"/>
          <w:sz w:val="28"/>
          <w:szCs w:val="28"/>
          <w:shd w:val="clear" w:fill="FFFFFF"/>
          <w:lang w:val="en-US" w:eastAsia="zh-CN"/>
        </w:rPr>
        <w:t>2019年底建成，现有档案装备已无法满足馆藏需求，为适应现代化档案馆要求，确保馆藏档案安全，更好的服务于社会发展，需购置一批档案智能及手动密集架</w:t>
      </w:r>
      <w:r>
        <w:rPr>
          <w:rFonts w:hint="eastAsia" w:asciiTheme="minorEastAsia" w:hAnsiTheme="minorEastAsia" w:eastAsiaTheme="minorEastAsia" w:cstheme="minorEastAsia"/>
          <w:b w:val="0"/>
          <w:bCs/>
          <w:i w:val="0"/>
          <w:caps w:val="0"/>
          <w:color w:val="333333"/>
          <w:spacing w:val="0"/>
          <w:sz w:val="28"/>
          <w:szCs w:val="28"/>
          <w:shd w:val="clear" w:fill="FFFFFF"/>
        </w:rPr>
        <w:t>。</w:t>
      </w:r>
    </w:p>
    <w:p>
      <w:pPr>
        <w:numPr>
          <w:ilvl w:val="0"/>
          <w:numId w:val="1"/>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资金用途及目的。</w:t>
      </w:r>
    </w:p>
    <w:p>
      <w:pPr>
        <w:ind w:firstLine="560" w:firstLineChars="200"/>
        <w:jc w:val="both"/>
        <w:rPr>
          <w:rFonts w:hint="eastAsia" w:asciiTheme="minorEastAsia" w:hAnsiTheme="minorEastAsia" w:eastAsiaTheme="minorEastAsia" w:cstheme="minorEastAsia"/>
          <w:b w:val="0"/>
          <w:bCs/>
          <w:i w:val="0"/>
          <w:caps w:val="0"/>
          <w:color w:val="333333"/>
          <w:spacing w:val="0"/>
          <w:sz w:val="28"/>
          <w:szCs w:val="28"/>
          <w:shd w:val="clear" w:fill="FFFFFF"/>
        </w:rPr>
      </w:pPr>
      <w:r>
        <w:rPr>
          <w:rFonts w:hint="eastAsia" w:asciiTheme="minorEastAsia" w:hAnsiTheme="minorEastAsia" w:cstheme="minorEastAsia"/>
          <w:b w:val="0"/>
          <w:bCs/>
          <w:i w:val="0"/>
          <w:caps w:val="0"/>
          <w:color w:val="333333"/>
          <w:spacing w:val="0"/>
          <w:sz w:val="28"/>
          <w:szCs w:val="28"/>
          <w:shd w:val="clear" w:fill="FFFFFF"/>
          <w:lang w:eastAsia="zh-CN"/>
        </w:rPr>
        <w:t>资金用于购置智能及手动档案密集架，以满足馆藏量需求及确保馆藏档案安全，发挥档案传承历史</w:t>
      </w:r>
      <w:r>
        <w:rPr>
          <w:rFonts w:hint="eastAsia" w:ascii="Microsoft YaHei" w:hAnsi="Microsoft YaHei" w:eastAsia="Microsoft YaHei" w:cs="Microsoft YaHei"/>
          <w:b w:val="0"/>
          <w:bCs/>
          <w:i w:val="0"/>
          <w:caps w:val="0"/>
          <w:color w:val="333333"/>
          <w:spacing w:val="0"/>
          <w:sz w:val="28"/>
          <w:szCs w:val="28"/>
          <w:shd w:val="clear" w:fill="FFFFFF"/>
          <w:lang w:eastAsia="zh-CN"/>
        </w:rPr>
        <w:t>,</w:t>
      </w:r>
      <w:r>
        <w:rPr>
          <w:rFonts w:hint="eastAsia" w:asciiTheme="minorEastAsia" w:hAnsiTheme="minorEastAsia" w:cstheme="minorEastAsia"/>
          <w:b w:val="0"/>
          <w:bCs/>
          <w:i w:val="0"/>
          <w:caps w:val="0"/>
          <w:color w:val="333333"/>
          <w:spacing w:val="0"/>
          <w:sz w:val="28"/>
          <w:szCs w:val="28"/>
          <w:shd w:val="clear" w:fill="FFFFFF"/>
          <w:lang w:eastAsia="zh-CN"/>
        </w:rPr>
        <w:t>服务社会的作用</w:t>
      </w:r>
      <w:r>
        <w:rPr>
          <w:rFonts w:hint="eastAsia" w:asciiTheme="minorEastAsia" w:hAnsiTheme="minorEastAsia" w:eastAsiaTheme="minorEastAsia" w:cstheme="minorEastAsia"/>
          <w:b w:val="0"/>
          <w:bCs/>
          <w:i w:val="0"/>
          <w:caps w:val="0"/>
          <w:color w:val="333333"/>
          <w:spacing w:val="0"/>
          <w:sz w:val="28"/>
          <w:szCs w:val="28"/>
          <w:shd w:val="clear" w:fill="FFFFFF"/>
        </w:rPr>
        <w:t>。</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（二）项目资金管理使用情况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1.项目资金（包括财政资金、自筹资金等）安排落实、总体入等情况分析。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县财政追加预算项目资金136.37</w:t>
      </w:r>
      <w:bookmarkStart w:id="0" w:name="_GoBack"/>
      <w:bookmarkEnd w:id="0"/>
      <w:r>
        <w:rPr>
          <w:rFonts w:hint="eastAsia" w:asciiTheme="minorEastAsia" w:hAnsiTheme="minorEastAsia" w:cstheme="minorEastAsia"/>
          <w:color w:val="333333"/>
          <w:kern w:val="0"/>
          <w:sz w:val="28"/>
          <w:szCs w:val="28"/>
          <w:lang w:val="en-US" w:eastAsia="zh-CN"/>
        </w:rPr>
        <w:t>万，当年财政拨款下达预算指标拨付45.46万</w:t>
      </w:r>
      <w:r>
        <w:rPr>
          <w:rFonts w:hint="eastAsia" w:asciiTheme="minorEastAsia" w:hAnsiTheme="minorEastAsia" w:eastAsiaTheme="minorEastAsia" w:cstheme="minorEastAsia"/>
          <w:color w:val="333333"/>
          <w:kern w:val="0"/>
          <w:sz w:val="28"/>
          <w:szCs w:val="28"/>
          <w:lang w:val="en-US" w:eastAsia="zh-CN"/>
        </w:rPr>
        <w:t>。</w:t>
      </w:r>
    </w:p>
    <w:p>
      <w:pPr>
        <w:numPr>
          <w:ilvl w:val="0"/>
          <w:numId w:val="0"/>
        </w:numPr>
        <w:ind w:left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2.项目资金（主要是指财政资金）实际使用情况分析，包括项目主要内容和涉及范围。</w:t>
      </w:r>
    </w:p>
    <w:p>
      <w:pPr>
        <w:numPr>
          <w:ilvl w:val="0"/>
          <w:numId w:val="0"/>
        </w:numPr>
        <w:ind w:leftChars="0"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该项目资金为档案馆智能及手动密集架装备购置费，拨付部分</w:t>
      </w:r>
      <w:r>
        <w:rPr>
          <w:rFonts w:hint="eastAsia" w:asciiTheme="minorEastAsia" w:hAnsiTheme="minorEastAsia" w:eastAsiaTheme="minorEastAsia" w:cstheme="minorEastAsia"/>
          <w:color w:val="333333"/>
          <w:kern w:val="0"/>
          <w:sz w:val="28"/>
          <w:szCs w:val="28"/>
          <w:lang w:val="en-US" w:eastAsia="zh-CN"/>
        </w:rPr>
        <w:t>已完全用于相关业务。</w:t>
      </w:r>
    </w:p>
    <w:p>
      <w:pPr>
        <w:numPr>
          <w:ilvl w:val="0"/>
          <w:numId w:val="1"/>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项目资金管理情况分析。</w:t>
      </w:r>
    </w:p>
    <w:p>
      <w:pPr>
        <w:pStyle w:val="8"/>
        <w:spacing w:before="120" w:beforeAutospacing="0" w:after="120" w:afterAutospacing="0"/>
        <w:ind w:left="420"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bCs/>
          <w:color w:val="333333"/>
          <w:sz w:val="28"/>
          <w:szCs w:val="28"/>
          <w:shd w:val="clear" w:color="auto" w:fill="FFFFFF"/>
        </w:rPr>
        <w:t>项目所有开支均按照财务管理制度执行，资金的使用严格把关，</w:t>
      </w:r>
      <w:r>
        <w:rPr>
          <w:rFonts w:hint="eastAsia" w:asciiTheme="minorEastAsia" w:hAnsiTheme="minorEastAsia" w:eastAsiaTheme="minorEastAsia" w:cstheme="minorEastAsia"/>
          <w:color w:val="333333"/>
          <w:sz w:val="28"/>
          <w:szCs w:val="28"/>
        </w:rPr>
        <w:t>确保项目资金按照单位相关管理制度合理合规使用，并接收审计。</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4.项目资金支出及拨付合规性分析。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通过线上转移支付方式完成支付，支付过程及结果公开透明，方式合规。</w:t>
      </w:r>
    </w:p>
    <w:p>
      <w:pPr>
        <w:numPr>
          <w:ilvl w:val="0"/>
          <w:numId w:val="2"/>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年初绩效目标及其衡量指标设定情况</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Calibri" w:hAnsi="Calibri" w:eastAsia="SimSun" w:cs="Calibri"/>
          <w:sz w:val="28"/>
          <w:szCs w:val="28"/>
          <w:lang w:val="en-US" w:eastAsia="zh-CN"/>
        </w:rPr>
      </w:pPr>
      <w:r>
        <w:rPr>
          <w:rFonts w:hint="eastAsia" w:ascii="Calibri" w:hAnsi="Calibri" w:eastAsia="SimSun" w:cs="Calibri"/>
          <w:sz w:val="28"/>
          <w:szCs w:val="28"/>
          <w:lang w:val="en-US" w:eastAsia="zh-CN"/>
        </w:rPr>
        <w:t>为合理有效监控绩效目标进展情况，我单位在年初对绩效目标设置进行了规范。一是细化量化绩效目标，合理有效实施监控。通过科学设置绩效目标，使之微观化、具体化、可操作化、可量化，有效体现绩效目标的实现程度，确保实施项目监控。二是精准设置项目绩效目标值。在设置绩效目标值时，通过对项目效益指标的合理预测，使得目标值与实现情况较为接近。</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（四）项目组织管理情况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1．项目组织情况（包括项目招投标情况、调整情况、完成验收等）分析。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严格安照规定实行政府采购</w:t>
      </w:r>
      <w:r>
        <w:rPr>
          <w:rFonts w:hint="eastAsia" w:asciiTheme="minorEastAsia" w:hAnsiTheme="minorEastAsia" w:eastAsiaTheme="minorEastAsia" w:cstheme="minorEastAsia"/>
          <w:color w:val="333333"/>
          <w:kern w:val="0"/>
          <w:sz w:val="28"/>
          <w:szCs w:val="28"/>
          <w:lang w:val="en-US" w:eastAsia="zh-CN"/>
        </w:rPr>
        <w:t>招投标，</w:t>
      </w:r>
      <w:r>
        <w:rPr>
          <w:rFonts w:hint="eastAsia" w:asciiTheme="minorEastAsia" w:hAnsiTheme="minorEastAsia" w:cstheme="minorEastAsia"/>
          <w:color w:val="333333"/>
          <w:kern w:val="0"/>
          <w:sz w:val="28"/>
          <w:szCs w:val="28"/>
          <w:lang w:val="en-US" w:eastAsia="zh-CN"/>
        </w:rPr>
        <w:t>根据财政情况支出资金进行调整，已按要求</w:t>
      </w:r>
      <w:r>
        <w:rPr>
          <w:rFonts w:hint="eastAsia" w:asciiTheme="minorEastAsia" w:hAnsiTheme="minorEastAsia" w:eastAsiaTheme="minorEastAsia" w:cstheme="minorEastAsia"/>
          <w:color w:val="333333"/>
          <w:kern w:val="0"/>
          <w:sz w:val="28"/>
          <w:szCs w:val="28"/>
          <w:lang w:val="en-US" w:eastAsia="zh-CN"/>
        </w:rPr>
        <w:t>完成。</w:t>
      </w:r>
    </w:p>
    <w:p>
      <w:pPr>
        <w:numPr>
          <w:ilvl w:val="0"/>
          <w:numId w:val="3"/>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项目管理情况（包括项目管理制度建设、日常检查监督 管理等情况）分析。</w:t>
      </w:r>
    </w:p>
    <w:p>
      <w:pPr>
        <w:numPr>
          <w:ilvl w:val="0"/>
          <w:numId w:val="0"/>
        </w:num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rPr>
        <w:t>项目资金使用</w:t>
      </w:r>
      <w:r>
        <w:rPr>
          <w:rFonts w:hint="eastAsia" w:asciiTheme="minorEastAsia" w:hAnsiTheme="minorEastAsia" w:cstheme="minorEastAsia"/>
          <w:color w:val="333333"/>
          <w:kern w:val="0"/>
          <w:sz w:val="28"/>
          <w:szCs w:val="28"/>
          <w:lang w:eastAsia="zh-CN"/>
        </w:rPr>
        <w:t>严格</w:t>
      </w:r>
      <w:r>
        <w:rPr>
          <w:rFonts w:hint="eastAsia" w:asciiTheme="minorEastAsia" w:hAnsiTheme="minorEastAsia" w:eastAsiaTheme="minorEastAsia" w:cstheme="minorEastAsia"/>
          <w:color w:val="333333"/>
          <w:kern w:val="0"/>
          <w:sz w:val="28"/>
          <w:szCs w:val="28"/>
        </w:rPr>
        <w:t>根据财务支出制度</w:t>
      </w:r>
      <w:r>
        <w:rPr>
          <w:rFonts w:hint="eastAsia" w:asciiTheme="minorEastAsia" w:hAnsiTheme="minorEastAsia" w:cstheme="minorEastAsia"/>
          <w:color w:val="333333"/>
          <w:kern w:val="0"/>
          <w:sz w:val="28"/>
          <w:szCs w:val="28"/>
          <w:lang w:eastAsia="zh-CN"/>
        </w:rPr>
        <w:t>执行，</w:t>
      </w:r>
      <w:r>
        <w:rPr>
          <w:rFonts w:hint="eastAsia" w:asciiTheme="minorEastAsia" w:hAnsiTheme="minorEastAsia" w:eastAsiaTheme="minorEastAsia" w:cstheme="minorEastAsia"/>
          <w:color w:val="333333"/>
          <w:kern w:val="0"/>
          <w:sz w:val="28"/>
          <w:szCs w:val="28"/>
          <w:lang w:val="en-US" w:eastAsia="zh-CN"/>
        </w:rPr>
        <w:t>已完成。</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二、项目自评工作开展情况</w:t>
      </w:r>
    </w:p>
    <w:p>
      <w:pPr>
        <w:keepNext w:val="0"/>
        <w:keepLines w:val="0"/>
        <w:pageBreakBefore w:val="0"/>
        <w:widowControl w:val="0"/>
        <w:kinsoku/>
        <w:wordWrap/>
        <w:overflowPunct/>
        <w:topLinePunct w:val="0"/>
        <w:autoSpaceDE/>
        <w:autoSpaceDN/>
        <w:bidi w:val="0"/>
        <w:adjustRightInd/>
        <w:snapToGrid/>
        <w:ind w:firstLine="280" w:firstLineChars="100"/>
        <w:jc w:val="both"/>
        <w:textAlignment w:val="auto"/>
        <w:rPr>
          <w:rFonts w:hint="eastAsia" w:ascii="SimSun" w:hAnsi="SimSun" w:eastAsia="SimSun" w:cs="SimSun"/>
          <w:sz w:val="28"/>
          <w:szCs w:val="28"/>
          <w:lang w:val="en-US" w:eastAsia="zh-CN"/>
        </w:rPr>
      </w:pPr>
      <w:r>
        <w:rPr>
          <w:rFonts w:hint="eastAsia" w:ascii="Calibri" w:hAnsi="Calibri" w:eastAsia="SimSun" w:cs="Calibri"/>
          <w:sz w:val="28"/>
          <w:szCs w:val="28"/>
          <w:lang w:val="en-US" w:eastAsia="zh-CN"/>
        </w:rPr>
        <w:t>（</w:t>
      </w:r>
      <w:r>
        <w:rPr>
          <w:rFonts w:hint="eastAsia" w:ascii="SimSun" w:hAnsi="SimSun" w:eastAsia="SimSun" w:cs="SimSun"/>
          <w:sz w:val="28"/>
          <w:szCs w:val="28"/>
          <w:lang w:val="en-US" w:eastAsia="zh-CN"/>
        </w:rPr>
        <w:t>－）评价依据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为进一步加强部门责任意识，强化预算支出绩效理念，规范资金管理，提高资金使用绩效，我单位安排专人开展此项工作，要求严格根据县财政局关于2021年度财政支出绩效评价工作有关事项的通知及要求开展预算项目绩效自评工作。</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（二）评价指标体系</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主要是预算批复时确定的绩效指标，包括项目的产出数量、质量、时效、成本，以及经济效益、社会效益、生态效益、可持续影响、服务对象满意度等。</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（三）评价流程</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我单位高度重视绩效自评工作，组织人员召开会议，召集相关业务股室人员布置相关工作，认真学习文件及项目支出绩效目标样表，结合以往工作经验，认真开展自评，确保这项工作能够保质保量完成。在推进自身评价工作开展的同时，结合评价工作实际和项目实施过程中规范化、严格化实际，有效推进，确保绩效评价结果公正、客观、精准，真实反映绩效，如实反映问题，切实提高评价质量。</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三、项目绩效情况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（一）绩效目标完成情况</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按照招标合同规定，支付合同数额的30%后供货方保证完成智能及手动档案装备和环境监控系统的生产，目前</w:t>
      </w:r>
      <w:r>
        <w:rPr>
          <w:rFonts w:hint="eastAsia" w:asciiTheme="minorEastAsia" w:hAnsiTheme="minorEastAsia" w:eastAsiaTheme="minorEastAsia" w:cstheme="minorEastAsia"/>
          <w:color w:val="333333"/>
          <w:kern w:val="0"/>
          <w:sz w:val="28"/>
          <w:szCs w:val="28"/>
          <w:lang w:val="en-US" w:eastAsia="zh-CN"/>
        </w:rPr>
        <w:t>已</w:t>
      </w:r>
      <w:r>
        <w:rPr>
          <w:rFonts w:hint="eastAsia" w:asciiTheme="minorEastAsia" w:hAnsiTheme="minorEastAsia" w:cstheme="minorEastAsia"/>
          <w:color w:val="333333"/>
          <w:kern w:val="0"/>
          <w:sz w:val="28"/>
          <w:szCs w:val="28"/>
          <w:lang w:val="en-US" w:eastAsia="zh-CN"/>
        </w:rPr>
        <w:t>按合同计划完成相关工作</w:t>
      </w:r>
      <w:r>
        <w:rPr>
          <w:rFonts w:hint="eastAsia" w:asciiTheme="minorEastAsia" w:hAnsiTheme="minorEastAsia" w:eastAsiaTheme="minorEastAsia" w:cstheme="minorEastAsia"/>
          <w:color w:val="333333"/>
          <w:kern w:val="0"/>
          <w:sz w:val="28"/>
          <w:szCs w:val="28"/>
          <w:lang w:val="en-US" w:eastAsia="zh-CN"/>
        </w:rPr>
        <w:t>。</w:t>
      </w:r>
    </w:p>
    <w:p>
      <w:pPr>
        <w:numPr>
          <w:ilvl w:val="0"/>
          <w:numId w:val="4"/>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绩效分析</w:t>
      </w:r>
      <w:r>
        <w:rPr>
          <w:rFonts w:hint="eastAsia" w:asciiTheme="minorEastAsia" w:hAnsiTheme="minorEastAsia" w:cstheme="minorEastAsia"/>
          <w:color w:val="333333"/>
          <w:kern w:val="0"/>
          <w:sz w:val="28"/>
          <w:szCs w:val="28"/>
          <w:lang w:val="en-US" w:eastAsia="zh-CN"/>
        </w:rPr>
        <w:t xml:space="preserve"> </w:t>
      </w:r>
    </w:p>
    <w:p>
      <w:pPr>
        <w:numPr>
          <w:ilvl w:val="0"/>
          <w:numId w:val="0"/>
        </w:numPr>
        <w:ind w:firstLine="280" w:firstLineChars="1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年度实际完成100%，达到预期目的。</w:t>
      </w:r>
    </w:p>
    <w:p>
      <w:pPr>
        <w:numPr>
          <w:ilvl w:val="0"/>
          <w:numId w:val="4"/>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总体自我评价</w:t>
      </w:r>
    </w:p>
    <w:p>
      <w:pPr>
        <w:numPr>
          <w:ilvl w:val="0"/>
          <w:numId w:val="0"/>
        </w:numPr>
        <w:ind w:leftChars="0"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完成度较高，效果较好。</w:t>
      </w:r>
    </w:p>
    <w:p>
      <w:pPr>
        <w:numPr>
          <w:ilvl w:val="0"/>
          <w:numId w:val="0"/>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四、主要经验做法、存在的问题和原因分析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（一）主要经验做法</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1、加强了预算管理，确保项目的科学性。在编制年度预算时，在进行调查研究的基础上，充分论证了项目立项的必要性、投入经济性、绩效目标合理性、实施方案可行性，确保项目具有可操作性，项目实施达到预期效果，发挥最大效益。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2、细化了项目管理，确保项目按期实施。做到了项目一经批复，各实施部门均认真细化方案，明确责任人，确定项目实施期间，定期开展内部检查，出现不可抗力因素，及时按程序进行必要的调整和变更，同时，做好各项目支出绩效目标执行中的控制管理，建好控制台账，确保资金对应绩效目标执行，强化项目推进过程的管理，确保项目按计划推进。</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3、严格了人员管理，提高绩效目标管理水平。加强了财务人员培训，使之熟练掌握预算编制和预算执行等各项政策，严格遵守各项财经纪律，不断提高业务能力，确保预算指标执行过程不交叉，不断提高绩效目标管理水平。</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（二）存在的主要问题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1.由于财政资金紧张，无法按照招标合同规定及时付款，导致项目进程有些缓慢。在运用数量标准、质量标准评价财政资金支出方面存在许多障碍。</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 2.资金使用效益有待进一步提高。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（三）改进措施和有关建议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1.进一步加强预算编制工作。根据本单位业务开展需要，逐项做出合理的可执行的预算计划。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3.切实做好预算财务分析常态化。定期做好预算支出财务分析，做好部门整体支出评价工作。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color w:val="333333"/>
          <w:kern w:val="0"/>
          <w:sz w:val="28"/>
          <w:szCs w:val="28"/>
          <w:lang w:val="en-US" w:eastAsia="zh-CN"/>
        </w:rPr>
      </w:pPr>
      <w:r>
        <w:rPr>
          <w:rFonts w:hint="eastAsia" w:ascii="SimSun" w:hAnsi="SimSun" w:eastAsia="SimSun" w:cs="SimSun"/>
          <w:color w:val="333333"/>
          <w:kern w:val="0"/>
          <w:sz w:val="28"/>
          <w:szCs w:val="28"/>
          <w:lang w:val="en-US" w:eastAsia="zh-CN"/>
        </w:rPr>
        <w:t>五、工作改进建议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 1、加强预算绩效管理制度建设。完善预算绩效管理制度，制定预算绩效管理工作流程和实施细则，增强实用性和可操作性。将内部控制制度嵌入到预算绩效管理全过程，加强风险管理，优化指标体系，促进预算绩效管理的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
    <w:panose1 w:val="02010609060101010101"/>
    <w:charset w:val="86"/>
    <w:family w:val="modern"/>
    <w:pitch w:val="default"/>
    <w:sig w:usb0="800002BF" w:usb1="38CF7CFA" w:usb2="00000016" w:usb3="00000000" w:csb0="0004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9AC343"/>
    <w:multiLevelType w:val="singleLevel"/>
    <w:tmpl w:val="9E9AC343"/>
    <w:lvl w:ilvl="0" w:tentative="0">
      <w:start w:val="2"/>
      <w:numFmt w:val="decimal"/>
      <w:suff w:val="nothing"/>
      <w:lvlText w:val="%1．"/>
      <w:lvlJc w:val="left"/>
    </w:lvl>
  </w:abstractNum>
  <w:abstractNum w:abstractNumId="1">
    <w:nsid w:val="E09C00BA"/>
    <w:multiLevelType w:val="singleLevel"/>
    <w:tmpl w:val="E09C00BA"/>
    <w:lvl w:ilvl="0" w:tentative="0">
      <w:start w:val="3"/>
      <w:numFmt w:val="chineseCounting"/>
      <w:suff w:val="nothing"/>
      <w:lvlText w:val="（%1）"/>
      <w:lvlJc w:val="left"/>
      <w:rPr>
        <w:rFonts w:hint="eastAsia"/>
      </w:rPr>
    </w:lvl>
  </w:abstractNum>
  <w:abstractNum w:abstractNumId="2">
    <w:nsid w:val="E46BBBDD"/>
    <w:multiLevelType w:val="singleLevel"/>
    <w:tmpl w:val="E46BBBDD"/>
    <w:lvl w:ilvl="0" w:tentative="0">
      <w:start w:val="2"/>
      <w:numFmt w:val="chineseCounting"/>
      <w:suff w:val="nothing"/>
      <w:lvlText w:val="（%1）"/>
      <w:lvlJc w:val="left"/>
      <w:rPr>
        <w:rFonts w:hint="eastAsia"/>
      </w:rPr>
    </w:lvl>
  </w:abstractNum>
  <w:abstractNum w:abstractNumId="3">
    <w:nsid w:val="4DF4EF24"/>
    <w:multiLevelType w:val="singleLevel"/>
    <w:tmpl w:val="4DF4EF24"/>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lZDc5MzVhMjkwMTFkMjA4YjVhNzRiMmJjMGNkNWUifQ=="/>
  </w:docVars>
  <w:rsids>
    <w:rsidRoot w:val="0055039A"/>
    <w:rsid w:val="002639F8"/>
    <w:rsid w:val="00283BC9"/>
    <w:rsid w:val="003A3040"/>
    <w:rsid w:val="0055039A"/>
    <w:rsid w:val="00C15D46"/>
    <w:rsid w:val="00D11D4F"/>
    <w:rsid w:val="00F53017"/>
    <w:rsid w:val="00FF5873"/>
    <w:rsid w:val="01BF1832"/>
    <w:rsid w:val="021762E1"/>
    <w:rsid w:val="04C44105"/>
    <w:rsid w:val="05204382"/>
    <w:rsid w:val="05FB6D97"/>
    <w:rsid w:val="08A22F63"/>
    <w:rsid w:val="08A27AD2"/>
    <w:rsid w:val="08DA42A9"/>
    <w:rsid w:val="0995103D"/>
    <w:rsid w:val="0A785A69"/>
    <w:rsid w:val="0BA55E30"/>
    <w:rsid w:val="0C24179A"/>
    <w:rsid w:val="0C3B6140"/>
    <w:rsid w:val="0C771F81"/>
    <w:rsid w:val="0CA23AC9"/>
    <w:rsid w:val="0E206ECE"/>
    <w:rsid w:val="0F0C6A8E"/>
    <w:rsid w:val="106A493C"/>
    <w:rsid w:val="110B6430"/>
    <w:rsid w:val="115722B1"/>
    <w:rsid w:val="11814852"/>
    <w:rsid w:val="12033062"/>
    <w:rsid w:val="124665E4"/>
    <w:rsid w:val="12A877DD"/>
    <w:rsid w:val="13B206E7"/>
    <w:rsid w:val="14083370"/>
    <w:rsid w:val="18797DF8"/>
    <w:rsid w:val="18D40977"/>
    <w:rsid w:val="1AB620AF"/>
    <w:rsid w:val="1BC33E7D"/>
    <w:rsid w:val="1BD417C5"/>
    <w:rsid w:val="1BF6367A"/>
    <w:rsid w:val="1C1166D8"/>
    <w:rsid w:val="1C2D73AE"/>
    <w:rsid w:val="1C7844F8"/>
    <w:rsid w:val="1CAF0D9E"/>
    <w:rsid w:val="1DFB7AA2"/>
    <w:rsid w:val="1E401C50"/>
    <w:rsid w:val="1FC96A81"/>
    <w:rsid w:val="2056176C"/>
    <w:rsid w:val="21083964"/>
    <w:rsid w:val="22442668"/>
    <w:rsid w:val="2283427E"/>
    <w:rsid w:val="22AF2A3D"/>
    <w:rsid w:val="25E01C3A"/>
    <w:rsid w:val="268C61EB"/>
    <w:rsid w:val="28844F19"/>
    <w:rsid w:val="2AC00DB4"/>
    <w:rsid w:val="2B2D4730"/>
    <w:rsid w:val="2B9F3273"/>
    <w:rsid w:val="2CC35040"/>
    <w:rsid w:val="2D6D7CCB"/>
    <w:rsid w:val="2D7464A6"/>
    <w:rsid w:val="2E0C586D"/>
    <w:rsid w:val="30B81B9A"/>
    <w:rsid w:val="30C41130"/>
    <w:rsid w:val="30D40D5E"/>
    <w:rsid w:val="320E045B"/>
    <w:rsid w:val="32D25107"/>
    <w:rsid w:val="32D46462"/>
    <w:rsid w:val="33616034"/>
    <w:rsid w:val="33E54101"/>
    <w:rsid w:val="34E1763B"/>
    <w:rsid w:val="3581603D"/>
    <w:rsid w:val="371B42F4"/>
    <w:rsid w:val="376A72FE"/>
    <w:rsid w:val="37811BFA"/>
    <w:rsid w:val="38C43F28"/>
    <w:rsid w:val="399C796E"/>
    <w:rsid w:val="3A163729"/>
    <w:rsid w:val="3A6725DD"/>
    <w:rsid w:val="3A704957"/>
    <w:rsid w:val="3AEB2B13"/>
    <w:rsid w:val="3BC94BB0"/>
    <w:rsid w:val="3C177D40"/>
    <w:rsid w:val="3C4C5C70"/>
    <w:rsid w:val="3D916DD9"/>
    <w:rsid w:val="3D9C13DA"/>
    <w:rsid w:val="3DA742D0"/>
    <w:rsid w:val="3E9C4C9E"/>
    <w:rsid w:val="3E9E7F60"/>
    <w:rsid w:val="4004626D"/>
    <w:rsid w:val="40053BAA"/>
    <w:rsid w:val="42591A3C"/>
    <w:rsid w:val="42D7414F"/>
    <w:rsid w:val="43B20159"/>
    <w:rsid w:val="43F05EF9"/>
    <w:rsid w:val="44182E08"/>
    <w:rsid w:val="460A4104"/>
    <w:rsid w:val="467665F9"/>
    <w:rsid w:val="47A93C09"/>
    <w:rsid w:val="4841791D"/>
    <w:rsid w:val="485E108D"/>
    <w:rsid w:val="4E082721"/>
    <w:rsid w:val="4F6C5C48"/>
    <w:rsid w:val="4F9D2EBB"/>
    <w:rsid w:val="50386C7E"/>
    <w:rsid w:val="50DB72C1"/>
    <w:rsid w:val="51800CA7"/>
    <w:rsid w:val="537F32DC"/>
    <w:rsid w:val="53CE4E75"/>
    <w:rsid w:val="54091C4C"/>
    <w:rsid w:val="543C792C"/>
    <w:rsid w:val="554A6F5A"/>
    <w:rsid w:val="56FB75E3"/>
    <w:rsid w:val="59BA33E9"/>
    <w:rsid w:val="5B9429B3"/>
    <w:rsid w:val="5C315895"/>
    <w:rsid w:val="5CF569C5"/>
    <w:rsid w:val="5D9B1DB1"/>
    <w:rsid w:val="61661B91"/>
    <w:rsid w:val="6225434E"/>
    <w:rsid w:val="63212A8F"/>
    <w:rsid w:val="63E438C0"/>
    <w:rsid w:val="63F67067"/>
    <w:rsid w:val="64D427CC"/>
    <w:rsid w:val="67691DC4"/>
    <w:rsid w:val="680F1D5C"/>
    <w:rsid w:val="683D0F4F"/>
    <w:rsid w:val="697F2668"/>
    <w:rsid w:val="6A2E1C9D"/>
    <w:rsid w:val="6A567AE6"/>
    <w:rsid w:val="6B4A0F30"/>
    <w:rsid w:val="6B95171B"/>
    <w:rsid w:val="6BE74954"/>
    <w:rsid w:val="6C1B20C5"/>
    <w:rsid w:val="6E5E5CA9"/>
    <w:rsid w:val="6EAC6349"/>
    <w:rsid w:val="6F290050"/>
    <w:rsid w:val="72F01BB6"/>
    <w:rsid w:val="743D2C6B"/>
    <w:rsid w:val="744108C1"/>
    <w:rsid w:val="75444415"/>
    <w:rsid w:val="77DB6D1E"/>
    <w:rsid w:val="797C0647"/>
    <w:rsid w:val="7A056B3D"/>
    <w:rsid w:val="7BE952D0"/>
    <w:rsid w:val="7C8E41ED"/>
    <w:rsid w:val="7DAE4B47"/>
    <w:rsid w:val="7E5B6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0"/>
    <w:pPr>
      <w:spacing w:before="0" w:beforeAutospacing="1" w:after="0" w:afterAutospacing="1"/>
      <w:jc w:val="left"/>
    </w:pPr>
    <w:rPr>
      <w:rFonts w:hint="eastAsia" w:ascii="SimSun" w:hAnsi="SimSun" w:eastAsia="SimSun" w:cs="SimSun"/>
      <w:b/>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Autospacing="1" w:afterAutospacing="1"/>
      <w:jc w:val="left"/>
    </w:pPr>
    <w:rPr>
      <w:rFonts w:hint="eastAsia" w:ascii="SimSun" w:hAnsi="SimSun" w:eastAsia="SimSun" w:cs="Times New Roman"/>
      <w:kern w:val="0"/>
      <w:sz w:val="24"/>
      <w:szCs w:val="24"/>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2700</Words>
  <Characters>2858</Characters>
  <Lines>1</Lines>
  <Paragraphs>1</Paragraphs>
  <TotalTime>4</TotalTime>
  <ScaleCrop>false</ScaleCrop>
  <LinksUpToDate>false</LinksUpToDate>
  <CharactersWithSpaces>2961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2019-10-26T09:05:00Z</dcterms:created>
  <dc:creator>lenovo</dc:creator>
  <cp:lastModifiedBy>Administrator</cp:lastModifiedBy>
  <cp:lastPrinted>2021-07-22T03:31:00Z</cp:lastPrinted>
  <dcterms:modified xsi:type="dcterms:W3CDTF">2022-06-17T00:43:24Z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E3FB6BA9E01345F291B86E027928C075</vt:lpwstr>
  </property>
</Properties>
</file>