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pPr>
      <w:bookmarkStart w:id="0" w:name="_Toc11908"/>
    </w:p>
    <w:p>
      <w:pPr>
        <w:ind w:firstLine="0" w:firstLineChars="0"/>
        <w:jc w:val="center"/>
        <w:rPr>
          <w:rFonts w:ascii="宋体" w:hAnsi="宋体" w:eastAsia="宋体"/>
          <w:b/>
          <w:sz w:val="52"/>
          <w:szCs w:val="52"/>
        </w:rPr>
      </w:pPr>
    </w:p>
    <w:p>
      <w:pPr>
        <w:pStyle w:val="28"/>
        <w:rPr>
          <w:rFonts w:hint="eastAsia" w:ascii="宋体" w:hAnsi="宋体" w:cs="宋体"/>
          <w:sz w:val="52"/>
          <w:szCs w:val="52"/>
          <w:lang w:eastAsia="zh-CN"/>
        </w:rPr>
      </w:pPr>
      <w:r>
        <w:rPr>
          <w:rFonts w:hint="eastAsia" w:ascii="宋体" w:hAnsi="宋体" w:cs="宋体"/>
          <w:sz w:val="52"/>
          <w:szCs w:val="52"/>
          <w:lang w:eastAsia="zh-CN"/>
        </w:rPr>
        <w:t>太康县档案局</w:t>
      </w:r>
    </w:p>
    <w:p>
      <w:pPr>
        <w:pStyle w:val="28"/>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数字化经费</w:t>
      </w:r>
    </w:p>
    <w:p>
      <w:pPr>
        <w:pStyle w:val="28"/>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30"/>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8"/>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太康县档案局</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3"/>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3"/>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3"/>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3"/>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4"/>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4"/>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7</w:t>
      </w:r>
      <w:r>
        <w:fldChar w:fldCharType="end"/>
      </w:r>
      <w:r>
        <w:fldChar w:fldCharType="end"/>
      </w:r>
    </w:p>
    <w:p>
      <w:pPr>
        <w:pStyle w:val="13"/>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3"/>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4"/>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3"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5"/>
      </w:pPr>
      <w:bookmarkStart w:id="1" w:name="_Toc11574"/>
      <w:bookmarkStart w:id="2" w:name="_Toc79333430"/>
      <w:r>
        <w:rPr>
          <w:rFonts w:hint="eastAsia"/>
        </w:rPr>
        <w:t>一、项目基本情况</w:t>
      </w:r>
      <w:bookmarkEnd w:id="0"/>
      <w:bookmarkEnd w:id="1"/>
      <w:bookmarkEnd w:id="2"/>
    </w:p>
    <w:p>
      <w:pPr>
        <w:pStyle w:val="6"/>
      </w:pPr>
      <w:bookmarkStart w:id="3" w:name="_Toc8110"/>
      <w:bookmarkStart w:id="4" w:name="_Toc79333431"/>
      <w:bookmarkStart w:id="5" w:name="_Toc9575"/>
      <w:r>
        <w:rPr>
          <w:rFonts w:hint="eastAsia"/>
        </w:rPr>
        <w:t>（一）项目基本信息</w:t>
      </w:r>
      <w:bookmarkEnd w:id="3"/>
      <w:bookmarkEnd w:id="4"/>
      <w:bookmarkEnd w:id="5"/>
    </w:p>
    <w:p>
      <w:pPr>
        <w:pStyle w:val="7"/>
        <w:ind w:firstLine="643"/>
      </w:pPr>
      <w:bookmarkStart w:id="6" w:name="_Toc79333432"/>
      <w:r>
        <w:rPr>
          <w:rFonts w:hint="eastAsia"/>
        </w:rPr>
        <w:t>1、项目背景</w:t>
      </w:r>
      <w:bookmarkEnd w:id="6"/>
    </w:p>
    <w:p>
      <w:pPr>
        <w:ind w:firstLine="640"/>
        <w:rPr>
          <w:rFonts w:hint="eastAsia"/>
        </w:rPr>
      </w:pPr>
      <w:r>
        <w:rPr>
          <w:rFonts w:hint="eastAsia"/>
          <w:lang w:eastAsia="zh-CN"/>
        </w:rPr>
        <w:t>馆藏档案数字化是建设数字档案馆的基础及不可少的前期准备工作，是构成数字档案馆的重要部分。根据《河南省档案信息化建设“十二五”规划》要求在“十二五”期间省市县三级档案馆实现数字化管理，并建成三级联网的数字化档案馆。周口市委和市政府与2011年联合下发文件，要求各县市全面开展“建立档案全文信息化系统，实现档案全文数字化管理”。我局已连续六年开展档案全文数字化工作。</w:t>
      </w:r>
    </w:p>
    <w:p>
      <w:pPr>
        <w:pStyle w:val="7"/>
        <w:ind w:firstLine="643"/>
      </w:pPr>
      <w:bookmarkStart w:id="7" w:name="_Toc79333433"/>
      <w:r>
        <w:rPr>
          <w:rFonts w:hint="eastAsia"/>
        </w:rPr>
        <w:t>2、项目实施内容</w:t>
      </w:r>
      <w:bookmarkEnd w:id="7"/>
    </w:p>
    <w:p>
      <w:pPr>
        <w:ind w:firstLine="640"/>
        <w:rPr>
          <w:rFonts w:hint="eastAsia" w:eastAsia="仿宋"/>
          <w:lang w:eastAsia="zh-CN"/>
        </w:rPr>
      </w:pPr>
      <w:bookmarkStart w:id="8" w:name="_Toc14372"/>
      <w:bookmarkStart w:id="9" w:name="_Toc17607"/>
      <w:bookmarkStart w:id="10" w:name="_Toc79333434"/>
      <w:r>
        <w:rPr>
          <w:rFonts w:hint="eastAsia"/>
          <w:lang w:eastAsia="zh-CN"/>
        </w:rPr>
        <w:t>保障机关正常运行的资金，</w:t>
      </w:r>
      <w:r>
        <w:rPr>
          <w:rFonts w:hint="eastAsia"/>
        </w:rPr>
        <w:t>主要用于</w:t>
      </w:r>
      <w:r>
        <w:rPr>
          <w:rFonts w:hint="eastAsia"/>
          <w:lang w:eastAsia="zh-CN"/>
        </w:rPr>
        <w:t>日常办公开支及</w:t>
      </w:r>
      <w:r>
        <w:rPr>
          <w:rFonts w:hint="eastAsia"/>
        </w:rPr>
        <w:t>档案资料征集、现代化管理、提供利用、抢救保护、安全保密、陈列展览、编纂、</w:t>
      </w:r>
      <w:r>
        <w:rPr>
          <w:rFonts w:hint="eastAsia"/>
          <w:lang w:eastAsia="zh-CN"/>
        </w:rPr>
        <w:t>档案数字化</w:t>
      </w:r>
      <w:r>
        <w:rPr>
          <w:rFonts w:hint="eastAsia"/>
        </w:rPr>
        <w:t>、设备购置、</w:t>
      </w:r>
      <w:r>
        <w:rPr>
          <w:rFonts w:hint="eastAsia"/>
          <w:lang w:eastAsia="zh-CN"/>
        </w:rPr>
        <w:t>库房</w:t>
      </w:r>
      <w:r>
        <w:rPr>
          <w:rFonts w:hint="eastAsia"/>
        </w:rPr>
        <w:t>维护及宣传教育等方面基本开支，更好地确保档案安全，满足服务对象查询档案，服务当地经济发展</w:t>
      </w:r>
      <w:r>
        <w:rPr>
          <w:rFonts w:hint="eastAsia"/>
          <w:lang w:eastAsia="zh-CN"/>
        </w:rPr>
        <w:t>。</w:t>
      </w:r>
    </w:p>
    <w:p>
      <w:pPr>
        <w:ind w:firstLine="640"/>
        <w:rPr>
          <w:rFonts w:hint="eastAsia"/>
          <w:lang w:val="en-US" w:eastAsia="zh-CN"/>
        </w:rPr>
      </w:pPr>
    </w:p>
    <w:p>
      <w:pPr>
        <w:pStyle w:val="6"/>
      </w:pPr>
      <w:r>
        <w:rPr>
          <w:rFonts w:hint="eastAsia"/>
        </w:rPr>
        <w:t>（二）项目支出情况</w:t>
      </w:r>
      <w:bookmarkEnd w:id="8"/>
      <w:bookmarkEnd w:id="9"/>
      <w:bookmarkEnd w:id="10"/>
    </w:p>
    <w:p>
      <w:pPr>
        <w:pStyle w:val="7"/>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10</w:t>
      </w:r>
      <w:r>
        <w:rPr>
          <w:rFonts w:hint="eastAsia"/>
          <w:highlight w:val="none"/>
        </w:rPr>
        <w:t>万元，当年实际执行</w:t>
      </w:r>
      <w:r>
        <w:rPr>
          <w:rFonts w:hint="eastAsia"/>
          <w:highlight w:val="none"/>
          <w:lang w:val="en-US" w:eastAsia="zh-CN"/>
        </w:rPr>
        <w:t>10</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7"/>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r>
        <w:rPr>
          <w:rFonts w:hint="eastAsia"/>
          <w:highlight w:val="none"/>
          <w:lang w:eastAsia="zh-CN"/>
        </w:rPr>
        <w:t>本项目数字化经费，资金已按照年初预算拨付</w:t>
      </w:r>
      <w:r>
        <w:rPr>
          <w:rFonts w:hint="eastAsia"/>
          <w:highlight w:val="none"/>
          <w:lang w:val="en-US" w:eastAsia="zh-CN"/>
        </w:rPr>
        <w:t>10万元，</w:t>
      </w:r>
      <w:r>
        <w:rPr>
          <w:rFonts w:hint="eastAsia"/>
          <w:highlight w:val="none"/>
        </w:rPr>
        <w:t>项目实际支出</w:t>
      </w:r>
      <w:r>
        <w:rPr>
          <w:rFonts w:hint="eastAsia" w:cs="仿宋"/>
          <w:sz w:val="32"/>
          <w:szCs w:val="32"/>
          <w:highlight w:val="none"/>
          <w:lang w:val="en-US" w:eastAsia="zh-CN"/>
        </w:rPr>
        <w:t>10</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5"/>
      </w:pPr>
      <w:bookmarkStart w:id="15" w:name="_Toc79333437"/>
      <w:bookmarkStart w:id="16" w:name="_Toc75871361"/>
      <w:bookmarkStart w:id="17" w:name="_Toc10420"/>
      <w:bookmarkStart w:id="18" w:name="_Toc1209"/>
      <w:r>
        <w:rPr>
          <w:rFonts w:hint="eastAsia"/>
        </w:rPr>
        <w:t>二、绩效自评工作开展情况</w:t>
      </w:r>
      <w:bookmarkEnd w:id="15"/>
      <w:bookmarkEnd w:id="16"/>
      <w:bookmarkEnd w:id="17"/>
      <w:bookmarkEnd w:id="18"/>
    </w:p>
    <w:p>
      <w:pPr>
        <w:pStyle w:val="6"/>
      </w:pPr>
      <w:bookmarkStart w:id="19" w:name="_Toc75871362"/>
      <w:bookmarkStart w:id="20" w:name="_Toc79333438"/>
      <w:bookmarkStart w:id="21" w:name="_Toc2270"/>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6"/>
      </w:pPr>
      <w:bookmarkStart w:id="22" w:name="_Toc5617"/>
      <w:bookmarkStart w:id="23" w:name="_Toc75871363"/>
      <w:bookmarkStart w:id="24" w:name="_Toc79333439"/>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数字化</w:t>
      </w:r>
      <w:r>
        <w:rPr>
          <w:rFonts w:hint="eastAsia"/>
          <w:highlight w:val="none"/>
        </w:rPr>
        <w:t>项目专项资金，评价范围为涉及该项目管理及其预算资金</w:t>
      </w:r>
      <w:r>
        <w:rPr>
          <w:rFonts w:hint="eastAsia"/>
          <w:highlight w:val="none"/>
          <w:lang w:val="en-US" w:eastAsia="zh-CN"/>
        </w:rPr>
        <w:t>10</w:t>
      </w:r>
      <w:r>
        <w:rPr>
          <w:rFonts w:hint="eastAsia"/>
          <w:highlight w:val="none"/>
        </w:rPr>
        <w:t>万元的使用情况。</w:t>
      </w:r>
    </w:p>
    <w:p>
      <w:pPr>
        <w:pStyle w:val="6"/>
      </w:pPr>
      <w:bookmarkStart w:id="26" w:name="_Toc8160"/>
      <w:bookmarkStart w:id="27" w:name="_Toc75871364"/>
      <w:bookmarkStart w:id="28" w:name="_Toc12774"/>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6"/>
      </w:pPr>
      <w:bookmarkStart w:id="30" w:name="_Toc9578"/>
      <w:bookmarkStart w:id="31" w:name="_Toc79333441"/>
      <w:bookmarkStart w:id="32" w:name="_Toc13521"/>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6"/>
      </w:pPr>
      <w:bookmarkStart w:id="35" w:name="_Toc75871366"/>
      <w:bookmarkStart w:id="36" w:name="_Toc489"/>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5"/>
      </w:pPr>
      <w:bookmarkStart w:id="38" w:name="_Toc79333443"/>
      <w:bookmarkStart w:id="39" w:name="_Toc24506"/>
      <w:r>
        <w:rPr>
          <w:rFonts w:hint="eastAsia"/>
        </w:rPr>
        <w:t>三、绩效自评结果及分析</w:t>
      </w:r>
      <w:bookmarkEnd w:id="38"/>
      <w:bookmarkEnd w:id="39"/>
    </w:p>
    <w:p>
      <w:pPr>
        <w:pStyle w:val="6"/>
      </w:pPr>
      <w:bookmarkStart w:id="40" w:name="_Toc25356"/>
      <w:bookmarkStart w:id="41" w:name="_Toc79333444"/>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20"/>
        <w:ind w:firstLine="643"/>
        <w:rPr>
          <w:rFonts w:hint="eastAsia"/>
        </w:rPr>
      </w:pPr>
    </w:p>
    <w:p>
      <w:pPr>
        <w:pStyle w:val="20"/>
        <w:ind w:firstLine="643"/>
      </w:pPr>
      <w:r>
        <w:rPr>
          <w:rFonts w:hint="eastAsia"/>
        </w:rPr>
        <w:t>表3.1 绩效自评价得分表</w:t>
      </w:r>
    </w:p>
    <w:tbl>
      <w:tblPr>
        <w:tblStyle w:val="17"/>
        <w:tblW w:w="8444" w:type="dxa"/>
        <w:jc w:val="center"/>
        <w:tblInd w:w="0" w:type="dxa"/>
        <w:tblLayout w:type="fixed"/>
        <w:tblCellMar>
          <w:top w:w="0" w:type="dxa"/>
          <w:left w:w="108" w:type="dxa"/>
          <w:bottom w:w="0" w:type="dxa"/>
          <w:right w:w="108" w:type="dxa"/>
        </w:tblCellMar>
      </w:tblPr>
      <w:tblGrid>
        <w:gridCol w:w="1305"/>
        <w:gridCol w:w="1603"/>
        <w:gridCol w:w="2724"/>
        <w:gridCol w:w="1439"/>
        <w:gridCol w:w="1373"/>
      </w:tblGrid>
      <w:tr>
        <w:tblPrEx>
          <w:tblLayout w:type="fixed"/>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9"/>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9"/>
            </w:pPr>
            <w:r>
              <w:rPr>
                <w:rFonts w:hint="eastAsia"/>
              </w:rPr>
              <w:t>实际得分</w:t>
            </w: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9"/>
              <w:rPr>
                <w:rFonts w:hint="eastAsia"/>
                <w:highlight w:val="none"/>
              </w:rPr>
            </w:pPr>
          </w:p>
          <w:p>
            <w:pPr>
              <w:pStyle w:val="19"/>
              <w:rPr>
                <w:rFonts w:hint="eastAsia"/>
                <w:highlight w:val="none"/>
              </w:rPr>
            </w:pPr>
          </w:p>
          <w:p>
            <w:pPr>
              <w:pStyle w:val="19"/>
              <w:rPr>
                <w:rFonts w:hint="eastAsia"/>
                <w:highlight w:val="none"/>
              </w:rPr>
            </w:pPr>
          </w:p>
          <w:p>
            <w:pPr>
              <w:pStyle w:val="19"/>
              <w:rPr>
                <w:rFonts w:hint="eastAsia"/>
                <w:highlight w:val="none"/>
              </w:rPr>
            </w:pPr>
          </w:p>
          <w:p>
            <w:pPr>
              <w:pStyle w:val="19"/>
              <w:rPr>
                <w:rFonts w:hint="eastAsia"/>
                <w:highlight w:val="none"/>
              </w:rPr>
            </w:pPr>
          </w:p>
          <w:p>
            <w:pPr>
              <w:pStyle w:val="19"/>
              <w:rPr>
                <w:highlight w:val="none"/>
              </w:rPr>
            </w:pPr>
            <w:r>
              <w:rPr>
                <w:sz w:val="24"/>
                <w:highlight w:val="none"/>
              </w:rPr>
              <mc:AlternateContent>
                <mc:Choice Requires="wps">
                  <w:drawing>
                    <wp:anchor distT="0" distB="0" distL="114300" distR="114300" simplePos="0" relativeHeight="251658240"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8240;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uzxqPYAAAACgEAAA8A&#10;AAAAAAAAAQAgAAAAIgAAAGRycy9kb3ducmV2LnhtbFBLAQIUABQAAAAIAIdO4kDl+BAG3gEAAHsD&#10;AAAOAAAAAAAAAAEAIAAAACcBAABkcnMvZTJvRG9jLnhtbFBLBQYAAAAABgAGAFkBAAB3BQ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9"/>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ascii="Calibri" w:hAnsi="Calibri" w:eastAsia="宋体"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档案人员数</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利用人次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right w:val="single" w:color="auto" w:sz="4" w:space="0"/>
            </w:tcBorders>
            <w:vAlign w:val="center"/>
          </w:tcPr>
          <w:p>
            <w:pPr>
              <w:pStyle w:val="19"/>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ascii="Calibri" w:hAnsi="Calibri" w:eastAsia="宋体" w:cs="Times New Roman"/>
                <w:kern w:val="2"/>
                <w:sz w:val="18"/>
                <w:szCs w:val="18"/>
                <w:highlight w:val="none"/>
                <w:lang w:val="en-US" w:eastAsia="zh-CN" w:bidi="ar-SA"/>
              </w:rPr>
              <w:t>信息化系统数量</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9"/>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r>
              <w:rPr>
                <w:rFonts w:hint="eastAsia"/>
                <w:highlight w:val="none"/>
                <w:lang w:eastAsia="zh-CN"/>
              </w:rPr>
              <w:t>检准率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right w:val="single" w:color="auto" w:sz="4" w:space="0"/>
            </w:tcBorders>
            <w:vAlign w:val="center"/>
          </w:tcPr>
          <w:p>
            <w:pPr>
              <w:pStyle w:val="19"/>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r>
              <w:rPr>
                <w:rFonts w:hint="eastAsia"/>
                <w:highlight w:val="none"/>
                <w:lang w:eastAsia="zh-CN"/>
              </w:rPr>
              <w:t>利用案卷率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4</w:t>
            </w:r>
          </w:p>
        </w:tc>
      </w:tr>
      <w:tr>
        <w:tblPrEx>
          <w:tblLayout w:type="fixed"/>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9"/>
              <w:rPr>
                <w:highlight w:val="none"/>
              </w:rPr>
            </w:pPr>
          </w:p>
        </w:tc>
        <w:tc>
          <w:tcPr>
            <w:tcW w:w="1603" w:type="dxa"/>
            <w:tcBorders>
              <w:top w:val="single" w:color="auto" w:sz="4" w:space="0"/>
              <w:left w:val="single" w:color="auto" w:sz="4" w:space="0"/>
              <w:right w:val="single" w:color="auto" w:sz="4" w:space="0"/>
            </w:tcBorders>
            <w:vAlign w:val="center"/>
          </w:tcPr>
          <w:p>
            <w:pPr>
              <w:pStyle w:val="19"/>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9"/>
              <w:rPr>
                <w:highlight w:val="none"/>
              </w:rPr>
            </w:pPr>
            <w:r>
              <w:rPr>
                <w:rFonts w:hint="eastAsia" w:ascii="宋体" w:hAnsi="宋体" w:cs="宋体"/>
                <w:color w:val="000000"/>
                <w:kern w:val="0"/>
                <w:sz w:val="28"/>
                <w:szCs w:val="28"/>
                <w:highlight w:val="none"/>
                <w:lang w:val="en-US" w:eastAsia="zh-CN"/>
              </w:rPr>
              <w:t>检索效率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4</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highlight w:val="none"/>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9"/>
              <w:rPr>
                <w:highlight w:val="none"/>
              </w:rPr>
            </w:pPr>
            <w:r>
              <w:rPr>
                <w:rFonts w:hint="eastAsia"/>
                <w:highlight w:val="none"/>
              </w:rPr>
              <w:t>社会效益指标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确保历史资料真实准确</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30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eastAsia="仿宋"/>
                <w:highlight w:val="none"/>
                <w:lang w:val="en-US" w:eastAsia="zh-CN"/>
              </w:rPr>
            </w:pPr>
            <w:r>
              <w:rPr>
                <w:rFonts w:hint="eastAsia"/>
                <w:highlight w:val="none"/>
                <w:lang w:val="en-US" w:eastAsia="zh-CN"/>
              </w:rPr>
              <w:t>30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rFonts w:hint="eastAsia"/>
                <w:highlight w:val="none"/>
                <w:lang w:eastAsia="zh-CN"/>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default"/>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9"/>
              <w:rPr>
                <w:highlight w:val="none"/>
              </w:rPr>
            </w:pP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生态效益指标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9"/>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9"/>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9"/>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9"/>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9"/>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640" w:firstLineChars="200"/>
              <w:jc w:val="left"/>
              <w:textAlignment w:val="center"/>
              <w:rPr>
                <w:highlight w:val="none"/>
              </w:rPr>
            </w:pP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满意度</w:t>
            </w:r>
          </w:p>
          <w:p>
            <w:pPr>
              <w:pStyle w:val="19"/>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9"/>
              <w:rPr>
                <w:rFonts w:hint="eastAsia" w:eastAsia="仿宋"/>
                <w:highlight w:val="none"/>
                <w:lang w:eastAsia="zh-CN"/>
              </w:rPr>
            </w:pPr>
            <w:r>
              <w:rPr>
                <w:rFonts w:hint="eastAsia"/>
                <w:highlight w:val="none"/>
                <w:lang w:eastAsia="zh-CN"/>
              </w:rPr>
              <w:t>群众满意度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9"/>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9"/>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9"/>
              <w:rPr>
                <w:rFonts w:hint="eastAsia" w:eastAsia="仿宋"/>
                <w:highlight w:val="none"/>
                <w:lang w:val="en-US" w:eastAsia="zh-CN"/>
              </w:rPr>
            </w:pPr>
            <w:r>
              <w:rPr>
                <w:rFonts w:hint="eastAsia"/>
                <w:highlight w:val="none"/>
                <w:lang w:val="en-US" w:eastAsia="zh-CN"/>
              </w:rPr>
              <w:t>98</w:t>
            </w:r>
          </w:p>
        </w:tc>
      </w:tr>
    </w:tbl>
    <w:p>
      <w:pPr>
        <w:pStyle w:val="6"/>
        <w:rPr>
          <w:highlight w:val="none"/>
        </w:rPr>
      </w:pPr>
      <w:bookmarkStart w:id="43" w:name="_Toc31442"/>
      <w:bookmarkStart w:id="44" w:name="_Toc79333445"/>
      <w:bookmarkStart w:id="45" w:name="_Toc24245"/>
      <w:r>
        <w:rPr>
          <w:rFonts w:hint="eastAsia"/>
          <w:highlight w:val="none"/>
        </w:rPr>
        <w:t>（二）自评指标分析</w:t>
      </w:r>
      <w:bookmarkEnd w:id="43"/>
      <w:bookmarkEnd w:id="44"/>
      <w:bookmarkEnd w:id="45"/>
    </w:p>
    <w:p>
      <w:pPr>
        <w:pStyle w:val="7"/>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10</w:t>
      </w:r>
      <w:r>
        <w:rPr>
          <w:rFonts w:hint="eastAsia"/>
          <w:highlight w:val="none"/>
        </w:rPr>
        <w:t>万元，全年执行数为</w:t>
      </w:r>
      <w:r>
        <w:rPr>
          <w:rFonts w:hint="eastAsia"/>
          <w:highlight w:val="none"/>
          <w:lang w:val="en-US" w:eastAsia="zh-CN"/>
        </w:rPr>
        <w:t>10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7"/>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rFonts w:hint="eastAsia"/>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档案人员数、利用人次、库房面积</w:t>
      </w:r>
    </w:p>
    <w:p>
      <w:pPr>
        <w:ind w:firstLine="640"/>
        <w:rPr>
          <w:highlight w:val="none"/>
        </w:rPr>
      </w:pP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档案人员数为</w:t>
      </w:r>
      <w:r>
        <w:rPr>
          <w:rFonts w:hint="eastAsia"/>
          <w:highlight w:val="none"/>
          <w:lang w:val="en-US" w:eastAsia="zh-CN"/>
        </w:rPr>
        <w:t>单位全覆盖，完成年度目标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eastAsia="zh-CN"/>
        </w:rPr>
        <w:t>利用人次数</w:t>
      </w:r>
      <w:r>
        <w:rPr>
          <w:rFonts w:hint="eastAsia"/>
          <w:highlight w:val="none"/>
        </w:rPr>
        <w:t>为</w:t>
      </w:r>
      <w:r>
        <w:rPr>
          <w:rFonts w:hint="eastAsia"/>
          <w:highlight w:val="none"/>
          <w:lang w:val="en-US" w:eastAsia="zh-CN"/>
        </w:rPr>
        <w:t>20</w:t>
      </w:r>
      <w:r>
        <w:rPr>
          <w:rFonts w:hint="eastAsia"/>
          <w:highlight w:val="none"/>
        </w:rPr>
        <w:t>0</w:t>
      </w:r>
      <w:r>
        <w:rPr>
          <w:rFonts w:hint="eastAsia"/>
          <w:highlight w:val="none"/>
          <w:lang w:val="en-US" w:eastAsia="zh-CN"/>
        </w:rPr>
        <w:t>0</w:t>
      </w:r>
      <w:r>
        <w:rPr>
          <w:rFonts w:hint="eastAsia"/>
          <w:highlight w:val="none"/>
          <w:lang w:eastAsia="zh-CN"/>
        </w:rPr>
        <w:t>次</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，信息化系统数量也完成了年初目标设定，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检准率</w:t>
      </w:r>
      <w:r>
        <w:rPr>
          <w:rFonts w:hint="eastAsia"/>
          <w:highlight w:val="none"/>
        </w:rPr>
        <w:t>”和“</w:t>
      </w:r>
      <w:r>
        <w:rPr>
          <w:rFonts w:hint="eastAsia"/>
          <w:highlight w:val="none"/>
          <w:lang w:eastAsia="zh-CN"/>
        </w:rPr>
        <w:t>利用案件率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检准率</w:t>
      </w:r>
      <w:r>
        <w:rPr>
          <w:rFonts w:hint="eastAsia"/>
          <w:highlight w:val="none"/>
        </w:rPr>
        <w:t>项目验收合格</w:t>
      </w:r>
      <w:r>
        <w:rPr>
          <w:rFonts w:hint="eastAsia"/>
          <w:highlight w:val="none"/>
          <w:lang w:eastAsia="zh-CN"/>
        </w:rPr>
        <w:t>，合格率</w:t>
      </w:r>
      <w:r>
        <w:rPr>
          <w:rFonts w:hint="eastAsia"/>
          <w:highlight w:val="none"/>
        </w:rPr>
        <w:t>达到1</w:t>
      </w:r>
      <w:r>
        <w:rPr>
          <w:highlight w:val="none"/>
        </w:rPr>
        <w:t>00</w:t>
      </w:r>
      <w:r>
        <w:rPr>
          <w:rFonts w:hint="eastAsia"/>
          <w:highlight w:val="none"/>
        </w:rPr>
        <w:t>%，该指标标准分值为</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r>
        <w:rPr>
          <w:rFonts w:hint="eastAsia"/>
          <w:highlight w:val="none"/>
          <w:lang w:eastAsia="zh-CN"/>
        </w:rPr>
        <w:t>利用案件率</w:t>
      </w:r>
      <w:r>
        <w:rPr>
          <w:rFonts w:hint="default" w:ascii="Arial" w:hAnsi="Arial" w:cs="Arial"/>
          <w:highlight w:val="none"/>
          <w:lang w:eastAsia="zh-CN"/>
        </w:rPr>
        <w:t>≥</w:t>
      </w:r>
      <w:r>
        <w:rPr>
          <w:rFonts w:hint="eastAsia" w:ascii="Arial" w:hAnsi="Arial" w:cs="Arial"/>
          <w:highlight w:val="none"/>
          <w:lang w:val="en-US" w:eastAsia="zh-CN"/>
        </w:rPr>
        <w:t>80%，完成了年度目标，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14</w:t>
      </w:r>
      <w:bookmarkStart w:id="81" w:name="_GoBack"/>
      <w:bookmarkEnd w:id="81"/>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检索效率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这项指标，检索效率为</w:t>
      </w:r>
      <w:r>
        <w:rPr>
          <w:rFonts w:hint="eastAsia"/>
          <w:highlight w:val="none"/>
          <w:lang w:val="en-US" w:eastAsia="zh-CN"/>
        </w:rPr>
        <w:t>80%，</w:t>
      </w:r>
      <w:r>
        <w:rPr>
          <w:rFonts w:hint="eastAsia"/>
          <w:highlight w:val="none"/>
        </w:rPr>
        <w:t>该指标标准分值为</w:t>
      </w:r>
      <w:r>
        <w:rPr>
          <w:highlight w:val="none"/>
        </w:rPr>
        <w:t>5分，得分为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7"/>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w:t>
      </w:r>
      <w:r>
        <w:rPr>
          <w:rFonts w:hint="eastAsia"/>
          <w:highlight w:val="none"/>
          <w:lang w:eastAsia="zh-CN"/>
        </w:rPr>
        <w:t>一</w:t>
      </w:r>
      <w:r>
        <w:rPr>
          <w:rFonts w:hint="eastAsia"/>
          <w:highlight w:val="none"/>
        </w:rPr>
        <w:t>个</w:t>
      </w:r>
      <w:r>
        <w:rPr>
          <w:rFonts w:hint="eastAsia"/>
          <w:highlight w:val="none"/>
          <w:lang w:eastAsia="zh-CN"/>
        </w:rPr>
        <w:t>三</w:t>
      </w:r>
      <w:r>
        <w:rPr>
          <w:rFonts w:hint="eastAsia"/>
          <w:highlight w:val="none"/>
        </w:rPr>
        <w:t>级指标，分别为“</w:t>
      </w:r>
      <w:r>
        <w:rPr>
          <w:rFonts w:hint="eastAsia"/>
          <w:highlight w:val="none"/>
          <w:lang w:eastAsia="zh-CN"/>
        </w:rPr>
        <w:t>社会效益指标</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一个</w:t>
      </w:r>
      <w:r>
        <w:rPr>
          <w:rFonts w:hint="eastAsia"/>
          <w:highlight w:val="none"/>
        </w:rPr>
        <w:t>三级指标分别为“</w:t>
      </w:r>
      <w:r>
        <w:rPr>
          <w:rFonts w:hint="eastAsia"/>
          <w:highlight w:val="none"/>
          <w:lang w:val="en-US" w:eastAsia="zh-CN"/>
        </w:rPr>
        <w:t>确保历史资料真实准确</w:t>
      </w:r>
      <w:r>
        <w:rPr>
          <w:rFonts w:hint="eastAsia"/>
          <w:highlight w:val="none"/>
        </w:rPr>
        <w:t>”。</w:t>
      </w:r>
    </w:p>
    <w:p>
      <w:pPr>
        <w:ind w:firstLine="640"/>
        <w:rPr>
          <w:highlight w:val="none"/>
        </w:rPr>
      </w:pPr>
      <w:r>
        <w:rPr>
          <w:rFonts w:hint="eastAsia"/>
          <w:highlight w:val="none"/>
          <w:lang w:eastAsia="zh-CN"/>
        </w:rPr>
        <w:t>该项目实施后对太康县的档案管理</w:t>
      </w:r>
      <w:r>
        <w:rPr>
          <w:rFonts w:hint="eastAsia"/>
          <w:highlight w:val="none"/>
        </w:rPr>
        <w:t>产生社会效益，该指标标准分值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30</w:t>
      </w:r>
      <w:r>
        <w:rPr>
          <w:rFonts w:hint="eastAsia"/>
          <w:highlight w:val="none"/>
        </w:rPr>
        <w:t>分，实际综合得分为</w:t>
      </w:r>
      <w:r>
        <w:rPr>
          <w:rFonts w:hint="eastAsia"/>
          <w:highlight w:val="none"/>
          <w:lang w:val="en-US" w:eastAsia="zh-CN"/>
        </w:rPr>
        <w:t>30</w:t>
      </w:r>
      <w:r>
        <w:rPr>
          <w:rFonts w:hint="eastAsia"/>
          <w:highlight w:val="none"/>
        </w:rPr>
        <w:t>分。</w:t>
      </w:r>
    </w:p>
    <w:p>
      <w:pPr>
        <w:pStyle w:val="7"/>
        <w:ind w:firstLine="643"/>
        <w:rPr>
          <w:highlight w:val="none"/>
        </w:rPr>
      </w:pPr>
      <w:bookmarkStart w:id="51" w:name="_Toc79333449"/>
      <w:r>
        <w:rPr>
          <w:highlight w:val="none"/>
        </w:rPr>
        <w:t>4、满意度指标分析</w:t>
      </w:r>
      <w:bookmarkEnd w:id="51"/>
    </w:p>
    <w:p>
      <w:pPr>
        <w:rPr>
          <w:highlight w:val="none"/>
        </w:rPr>
      </w:pPr>
    </w:p>
    <w:p>
      <w:pPr>
        <w:ind w:firstLine="640"/>
        <w:rPr>
          <w:highlight w:val="none"/>
        </w:rPr>
      </w:pPr>
      <w:r>
        <w:rPr>
          <w:rFonts w:hint="eastAsia"/>
          <w:highlight w:val="none"/>
        </w:rPr>
        <w:t>满意度：</w:t>
      </w:r>
      <w:r>
        <w:rPr>
          <w:rFonts w:hint="eastAsia"/>
          <w:highlight w:val="none"/>
          <w:lang w:eastAsia="zh-CN"/>
        </w:rPr>
        <w:t>档案管理项目确实提高了群众</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5"/>
        <w:rPr>
          <w:highlight w:val="none"/>
        </w:rPr>
      </w:pPr>
      <w:bookmarkStart w:id="52" w:name="_Toc1809"/>
      <w:bookmarkStart w:id="53" w:name="_Toc79333450"/>
      <w:bookmarkStart w:id="54" w:name="_Toc29830"/>
      <w:r>
        <w:rPr>
          <w:rFonts w:hint="eastAsia"/>
          <w:highlight w:val="none"/>
        </w:rPr>
        <w:t>四、成果和问题</w:t>
      </w:r>
      <w:bookmarkEnd w:id="52"/>
      <w:bookmarkEnd w:id="53"/>
      <w:bookmarkEnd w:id="54"/>
    </w:p>
    <w:p>
      <w:pPr>
        <w:pStyle w:val="6"/>
        <w:rPr>
          <w:highlight w:val="none"/>
        </w:rPr>
      </w:pPr>
      <w:bookmarkStart w:id="55" w:name="_Toc30565"/>
      <w:bookmarkStart w:id="56" w:name="_Toc79333451"/>
      <w:r>
        <w:rPr>
          <w:rFonts w:hint="eastAsia"/>
          <w:highlight w:val="none"/>
        </w:rPr>
        <w:t>（一）项目实施的成果</w:t>
      </w:r>
      <w:bookmarkEnd w:id="55"/>
      <w:bookmarkEnd w:id="56"/>
    </w:p>
    <w:p>
      <w:pPr>
        <w:ind w:firstLine="640"/>
        <w:rPr>
          <w:highlight w:val="none"/>
        </w:rPr>
      </w:pPr>
    </w:p>
    <w:p>
      <w:pPr>
        <w:pStyle w:val="15"/>
        <w:spacing w:before="120" w:beforeAutospacing="0" w:after="120" w:afterAutospacing="0"/>
        <w:ind w:firstLine="640" w:firstLineChars="200"/>
        <w:rPr>
          <w:rFonts w:hint="eastAsia" w:ascii="仿宋" w:hAnsi="仿宋" w:eastAsia="仿宋" w:cstheme="minorBidi"/>
          <w:kern w:val="2"/>
          <w:sz w:val="32"/>
          <w:szCs w:val="32"/>
          <w:highlight w:val="none"/>
          <w:lang w:val="en-US" w:eastAsia="zh-CN" w:bidi="ar-SA"/>
        </w:rPr>
      </w:pPr>
      <w:bookmarkStart w:id="57" w:name="_Toc30691"/>
      <w:bookmarkStart w:id="58" w:name="_Toc79333452"/>
      <w:r>
        <w:rPr>
          <w:rFonts w:hint="eastAsia" w:ascii="仿宋" w:hAnsi="仿宋" w:eastAsia="仿宋" w:cstheme="minorBidi"/>
          <w:kern w:val="2"/>
          <w:sz w:val="32"/>
          <w:szCs w:val="32"/>
          <w:highlight w:val="none"/>
          <w:lang w:val="en-US" w:eastAsia="zh-CN" w:bidi="ar-SA"/>
        </w:rPr>
        <w:t>该项目为档案管理工作经费，资金已按照年初预算和追加预算申请拨付。主要用于日常办公开支、档案信息化、档案征集、接收、保管利用及档案库房安全防护等档案管理的各个环节,以确保档案管理工作及建立数字化档案馆各个环节正常运转。</w:t>
      </w:r>
    </w:p>
    <w:p>
      <w:pPr>
        <w:pStyle w:val="6"/>
        <w:ind w:firstLine="643" w:firstLineChars="200"/>
        <w:rPr>
          <w:rFonts w:hint="eastAsia" w:ascii="仿宋" w:hAnsi="仿宋" w:eastAsia="仿宋" w:cs="仿宋"/>
          <w:sz w:val="32"/>
          <w:szCs w:val="32"/>
          <w:highlight w:val="none"/>
        </w:rPr>
      </w:pPr>
    </w:p>
    <w:p>
      <w:pPr>
        <w:pStyle w:val="6"/>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5"/>
        <w:rPr>
          <w:highlight w:val="none"/>
        </w:rPr>
      </w:pPr>
      <w:bookmarkStart w:id="59" w:name="_Toc79333453"/>
      <w:bookmarkStart w:id="60" w:name="_Toc6382"/>
      <w:bookmarkStart w:id="61" w:name="_Toc27227"/>
      <w:r>
        <w:rPr>
          <w:rFonts w:hint="eastAsia"/>
          <w:highlight w:val="none"/>
        </w:rPr>
        <w:t>五、建议</w:t>
      </w:r>
      <w:bookmarkEnd w:id="59"/>
      <w:bookmarkEnd w:id="60"/>
      <w:bookmarkEnd w:id="61"/>
    </w:p>
    <w:p>
      <w:pPr>
        <w:pStyle w:val="6"/>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6"/>
        <w:rPr>
          <w:highlight w:val="none"/>
        </w:rPr>
      </w:pPr>
      <w:bookmarkStart w:id="64" w:name="_Toc79333455"/>
      <w:bookmarkStart w:id="65" w:name="_Toc19326"/>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6"/>
        <w:rPr>
          <w:rFonts w:hint="eastAsia" w:eastAsia="楷体"/>
          <w:highlight w:val="none"/>
          <w:lang w:eastAsia="zh-CN"/>
        </w:rPr>
      </w:pPr>
      <w:bookmarkStart w:id="66" w:name="_Toc79333456"/>
      <w:bookmarkStart w:id="67" w:name="_Toc24402"/>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5"/>
        <w:rPr>
          <w:highlight w:val="none"/>
        </w:rPr>
      </w:pPr>
      <w:bookmarkStart w:id="68" w:name="_Toc79333457"/>
      <w:bookmarkStart w:id="69" w:name="_Toc665"/>
      <w:bookmarkStart w:id="70" w:name="_Toc6061"/>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5"/>
      </w:pPr>
      <w:bookmarkStart w:id="71" w:name="_Toc75871379"/>
      <w:bookmarkStart w:id="72" w:name="_Toc62030119"/>
      <w:bookmarkStart w:id="73" w:name="_Toc3394"/>
      <w:bookmarkStart w:id="74" w:name="_Toc79333458"/>
      <w:bookmarkStart w:id="75" w:name="_Toc61882435"/>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4" w:type="default"/>
          <w:pgSz w:w="11906" w:h="16838"/>
          <w:pgMar w:top="1440" w:right="1800" w:bottom="1440" w:left="1800" w:header="851" w:footer="737" w:gutter="0"/>
          <w:pgNumType w:fmt="decimal" w:start="1"/>
          <w:cols w:space="0" w:num="1"/>
          <w:docGrid w:linePitch="312" w:charSpace="0"/>
        </w:sectPr>
      </w:pPr>
    </w:p>
    <w:p>
      <w:pPr>
        <w:pStyle w:val="6"/>
      </w:pPr>
      <w:bookmarkStart w:id="76" w:name="_Toc79333459"/>
      <w:bookmarkStart w:id="77" w:name="_Toc75871380"/>
      <w:bookmarkStart w:id="78" w:name="_Toc8706"/>
      <w:bookmarkStart w:id="79" w:name="_Toc62030120"/>
      <w:bookmarkStart w:id="80" w:name="_Toc61882642"/>
      <w:r>
        <w:rPr>
          <w:rFonts w:hint="eastAsia"/>
        </w:rPr>
        <w:t>附件一：项目绩效自评表</w:t>
      </w:r>
      <w:bookmarkEnd w:id="76"/>
      <w:bookmarkEnd w:id="77"/>
      <w:bookmarkEnd w:id="78"/>
      <w:bookmarkEnd w:id="79"/>
      <w:bookmarkEnd w:id="80"/>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等线">
    <w:altName w:val="宋体"/>
    <w:panose1 w:val="00000000000000000000"/>
    <w:charset w:val="86"/>
    <w:family w:val="auto"/>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Latha">
    <w:panose1 w:val="02000400000000000000"/>
    <w:charset w:val="00"/>
    <w:family w:val="auto"/>
    <w:pitch w:val="default"/>
    <w:sig w:usb0="001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iNzJhYWJiZDk5YzkxNGRlZWE5ZTdkMDFjMWE5MGE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9083694"/>
    <w:rsid w:val="09AB2202"/>
    <w:rsid w:val="0EE02FCE"/>
    <w:rsid w:val="11D14067"/>
    <w:rsid w:val="1B002515"/>
    <w:rsid w:val="1BA50EE0"/>
    <w:rsid w:val="1CBF4C66"/>
    <w:rsid w:val="1E734EC5"/>
    <w:rsid w:val="21032E75"/>
    <w:rsid w:val="2449572C"/>
    <w:rsid w:val="2636356A"/>
    <w:rsid w:val="28577A06"/>
    <w:rsid w:val="2AE845D1"/>
    <w:rsid w:val="2C1B113B"/>
    <w:rsid w:val="2E3C1390"/>
    <w:rsid w:val="30FD39D4"/>
    <w:rsid w:val="340A4177"/>
    <w:rsid w:val="358D1218"/>
    <w:rsid w:val="360509BD"/>
    <w:rsid w:val="37360FC5"/>
    <w:rsid w:val="390B472B"/>
    <w:rsid w:val="3B080524"/>
    <w:rsid w:val="3CF31F38"/>
    <w:rsid w:val="3E793690"/>
    <w:rsid w:val="408C5853"/>
    <w:rsid w:val="40B05D7B"/>
    <w:rsid w:val="43901938"/>
    <w:rsid w:val="441E6300"/>
    <w:rsid w:val="446B5EBC"/>
    <w:rsid w:val="456434A3"/>
    <w:rsid w:val="468D148D"/>
    <w:rsid w:val="49CC2D3C"/>
    <w:rsid w:val="4CB55F6E"/>
    <w:rsid w:val="4E992DD9"/>
    <w:rsid w:val="503A51A4"/>
    <w:rsid w:val="50941D9D"/>
    <w:rsid w:val="50C37060"/>
    <w:rsid w:val="51F31B53"/>
    <w:rsid w:val="52321ABE"/>
    <w:rsid w:val="533F163E"/>
    <w:rsid w:val="55717B4E"/>
    <w:rsid w:val="55F263A6"/>
    <w:rsid w:val="55F834F4"/>
    <w:rsid w:val="56F53B80"/>
    <w:rsid w:val="59AB1C95"/>
    <w:rsid w:val="5C421C32"/>
    <w:rsid w:val="5CD42C71"/>
    <w:rsid w:val="611B0B6F"/>
    <w:rsid w:val="63BF54E2"/>
    <w:rsid w:val="646E0F0E"/>
    <w:rsid w:val="65091475"/>
    <w:rsid w:val="65A17FA7"/>
    <w:rsid w:val="66447F6F"/>
    <w:rsid w:val="666D63A3"/>
    <w:rsid w:val="69312D5B"/>
    <w:rsid w:val="6ABB68E5"/>
    <w:rsid w:val="6AEB2D33"/>
    <w:rsid w:val="6BE0798A"/>
    <w:rsid w:val="6BE10979"/>
    <w:rsid w:val="6CBD40C9"/>
    <w:rsid w:val="70493BA2"/>
    <w:rsid w:val="74303A93"/>
    <w:rsid w:val="74AD3F2D"/>
    <w:rsid w:val="75BB1238"/>
    <w:rsid w:val="77753743"/>
    <w:rsid w:val="789E7920"/>
    <w:rsid w:val="79A57017"/>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5">
    <w:name w:val="heading 1"/>
    <w:basedOn w:val="1"/>
    <w:next w:val="1"/>
    <w:link w:val="23"/>
    <w:qFormat/>
    <w:uiPriority w:val="9"/>
    <w:pPr>
      <w:keepNext/>
      <w:keepLines/>
      <w:ind w:firstLine="0" w:firstLineChars="0"/>
      <w:jc w:val="left"/>
      <w:outlineLvl w:val="0"/>
    </w:pPr>
    <w:rPr>
      <w:rFonts w:ascii="黑体" w:hAnsi="黑体" w:eastAsia="黑体"/>
      <w:b/>
      <w:bCs/>
      <w:kern w:val="44"/>
    </w:rPr>
  </w:style>
  <w:style w:type="paragraph" w:styleId="6">
    <w:name w:val="heading 2"/>
    <w:basedOn w:val="1"/>
    <w:next w:val="7"/>
    <w:link w:val="21"/>
    <w:unhideWhenUsed/>
    <w:qFormat/>
    <w:uiPriority w:val="9"/>
    <w:pPr>
      <w:keepNext/>
      <w:keepLines/>
      <w:ind w:firstLine="0" w:firstLineChars="0"/>
      <w:jc w:val="left"/>
      <w:outlineLvl w:val="1"/>
    </w:pPr>
    <w:rPr>
      <w:rFonts w:ascii="楷体" w:hAnsi="楷体" w:eastAsia="楷体" w:cstheme="majorBidi"/>
      <w:b/>
      <w:bCs/>
    </w:rPr>
  </w:style>
  <w:style w:type="paragraph" w:styleId="7">
    <w:name w:val="heading 3"/>
    <w:basedOn w:val="1"/>
    <w:next w:val="1"/>
    <w:link w:val="24"/>
    <w:unhideWhenUsed/>
    <w:qFormat/>
    <w:uiPriority w:val="9"/>
    <w:pPr>
      <w:keepNext/>
      <w:keepLines/>
      <w:ind w:firstLine="200"/>
      <w:jc w:val="left"/>
      <w:outlineLvl w:val="2"/>
    </w:pPr>
    <w:rPr>
      <w:rFonts w:ascii="宋体" w:hAnsi="宋体"/>
      <w:b/>
      <w:bCs/>
    </w:rPr>
  </w:style>
  <w:style w:type="paragraph" w:styleId="8">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6">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4"/>
    <w:qFormat/>
    <w:uiPriority w:val="0"/>
  </w:style>
  <w:style w:type="paragraph" w:customStyle="1" w:styleId="4">
    <w:name w:val="Body Text 21"/>
    <w:basedOn w:val="1"/>
    <w:qFormat/>
    <w:uiPriority w:val="0"/>
    <w:pPr>
      <w:spacing w:line="480" w:lineRule="auto"/>
    </w:pPr>
  </w:style>
  <w:style w:type="paragraph" w:styleId="9">
    <w:name w:val="annotation text"/>
    <w:basedOn w:val="1"/>
    <w:qFormat/>
    <w:uiPriority w:val="0"/>
    <w:pPr>
      <w:jc w:val="left"/>
    </w:pPr>
  </w:style>
  <w:style w:type="paragraph" w:styleId="10">
    <w:name w:val="toc 3"/>
    <w:basedOn w:val="1"/>
    <w:next w:val="1"/>
    <w:unhideWhenUsed/>
    <w:qFormat/>
    <w:uiPriority w:val="39"/>
    <w:pPr>
      <w:ind w:left="840" w:leftChars="400"/>
    </w:pPr>
  </w:style>
  <w:style w:type="paragraph" w:styleId="11">
    <w:name w:val="footer"/>
    <w:basedOn w:val="1"/>
    <w:link w:val="22"/>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Normal (Web)"/>
    <w:basedOn w:val="1"/>
    <w:qFormat/>
    <w:uiPriority w:val="0"/>
    <w:pPr>
      <w:widowControl/>
      <w:spacing w:beforeAutospacing="1" w:afterAutospacing="1"/>
      <w:jc w:val="left"/>
    </w:pPr>
    <w:rPr>
      <w:rFonts w:hint="eastAsia" w:ascii="宋体" w:hAnsi="宋体" w:eastAsia="宋体" w:cs="Times New Roman"/>
      <w:kern w:val="0"/>
      <w:sz w:val="24"/>
      <w:szCs w:val="24"/>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0">
    <w:name w:val="表头"/>
    <w:basedOn w:val="1"/>
    <w:next w:val="1"/>
    <w:qFormat/>
    <w:uiPriority w:val="0"/>
    <w:pPr>
      <w:spacing w:before="100" w:after="100"/>
      <w:jc w:val="center"/>
    </w:pPr>
    <w:rPr>
      <w:rFonts w:ascii="Times New Roman" w:hAnsi="Times New Roman"/>
      <w:b/>
      <w:bCs/>
      <w:szCs w:val="28"/>
    </w:rPr>
  </w:style>
  <w:style w:type="character" w:customStyle="1" w:styleId="21">
    <w:name w:val="标题 2 字符"/>
    <w:basedOn w:val="16"/>
    <w:link w:val="6"/>
    <w:qFormat/>
    <w:uiPriority w:val="9"/>
    <w:rPr>
      <w:rFonts w:ascii="楷体" w:hAnsi="楷体" w:eastAsia="楷体" w:cstheme="majorBidi"/>
      <w:b/>
      <w:bCs/>
      <w:kern w:val="2"/>
      <w:sz w:val="32"/>
      <w:szCs w:val="32"/>
    </w:rPr>
  </w:style>
  <w:style w:type="character" w:customStyle="1" w:styleId="22">
    <w:name w:val="页脚 字符"/>
    <w:basedOn w:val="16"/>
    <w:link w:val="11"/>
    <w:qFormat/>
    <w:uiPriority w:val="99"/>
    <w:rPr>
      <w:rFonts w:eastAsia="仿宋"/>
      <w:sz w:val="28"/>
      <w:szCs w:val="28"/>
    </w:rPr>
  </w:style>
  <w:style w:type="character" w:customStyle="1" w:styleId="23">
    <w:name w:val="标题 1 字符"/>
    <w:basedOn w:val="16"/>
    <w:link w:val="5"/>
    <w:qFormat/>
    <w:uiPriority w:val="9"/>
    <w:rPr>
      <w:rFonts w:ascii="黑体" w:hAnsi="黑体" w:eastAsia="黑体"/>
      <w:b/>
      <w:bCs/>
      <w:kern w:val="44"/>
      <w:sz w:val="32"/>
      <w:szCs w:val="32"/>
    </w:rPr>
  </w:style>
  <w:style w:type="character" w:customStyle="1" w:styleId="24">
    <w:name w:val="标题 3 字符"/>
    <w:basedOn w:val="16"/>
    <w:link w:val="7"/>
    <w:qFormat/>
    <w:uiPriority w:val="9"/>
    <w:rPr>
      <w:rFonts w:ascii="宋体" w:hAnsi="宋体" w:eastAsia="仿宋"/>
      <w:b/>
      <w:bCs/>
      <w:kern w:val="2"/>
      <w:sz w:val="32"/>
      <w:szCs w:val="32"/>
    </w:rPr>
  </w:style>
  <w:style w:type="character" w:customStyle="1" w:styleId="25">
    <w:name w:val="标题 4 字符"/>
    <w:basedOn w:val="16"/>
    <w:link w:val="8"/>
    <w:semiHidden/>
    <w:qFormat/>
    <w:uiPriority w:val="9"/>
    <w:rPr>
      <w:rFonts w:asciiTheme="majorHAnsi" w:hAnsiTheme="majorHAnsi" w:eastAsiaTheme="majorEastAsia" w:cstheme="majorBidi"/>
      <w:b/>
      <w:bCs/>
      <w:kern w:val="2"/>
      <w:sz w:val="28"/>
      <w:szCs w:val="28"/>
    </w:rPr>
  </w:style>
  <w:style w:type="paragraph" w:customStyle="1" w:styleId="26">
    <w:name w:val="本模板"/>
    <w:basedOn w:val="1"/>
    <w:next w:val="1"/>
    <w:qFormat/>
    <w:uiPriority w:val="0"/>
    <w:pPr>
      <w:ind w:firstLine="0" w:firstLineChars="0"/>
      <w:jc w:val="center"/>
    </w:pPr>
  </w:style>
  <w:style w:type="paragraph" w:customStyle="1" w:styleId="27">
    <w:name w:val="由"/>
    <w:basedOn w:val="1"/>
    <w:qFormat/>
    <w:uiPriority w:val="0"/>
    <w:pPr>
      <w:ind w:firstLine="0" w:firstLineChars="0"/>
      <w:jc w:val="center"/>
    </w:pPr>
  </w:style>
  <w:style w:type="paragraph" w:customStyle="1" w:styleId="28">
    <w:name w:val="昭元绩效"/>
    <w:basedOn w:val="1"/>
    <w:qFormat/>
    <w:uiPriority w:val="0"/>
    <w:pPr>
      <w:spacing w:line="360" w:lineRule="auto"/>
      <w:ind w:firstLine="0" w:firstLineChars="0"/>
      <w:jc w:val="center"/>
    </w:pPr>
    <w:rPr>
      <w:rFonts w:eastAsia="宋体"/>
      <w:b/>
      <w:bCs/>
      <w:sz w:val="44"/>
      <w:szCs w:val="44"/>
    </w:rPr>
  </w:style>
  <w:style w:type="paragraph" w:customStyle="1" w:styleId="29">
    <w:name w:val="提供"/>
    <w:basedOn w:val="1"/>
    <w:qFormat/>
    <w:uiPriority w:val="0"/>
    <w:pPr>
      <w:ind w:firstLine="0" w:firstLineChars="0"/>
      <w:jc w:val="center"/>
    </w:pPr>
  </w:style>
  <w:style w:type="paragraph" w:customStyle="1" w:styleId="30">
    <w:name w:val="版权所有"/>
    <w:basedOn w:val="1"/>
    <w:qFormat/>
    <w:uiPriority w:val="0"/>
    <w:pPr>
      <w:ind w:firstLine="0" w:firstLineChars="0"/>
      <w:jc w:val="center"/>
    </w:pPr>
  </w:style>
  <w:style w:type="paragraph" w:customStyle="1" w:styleId="31">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4260</Words>
  <Characters>4464</Characters>
  <Lines>42</Lines>
  <Paragraphs>11</Paragraphs>
  <TotalTime>3</TotalTime>
  <ScaleCrop>false</ScaleCrop>
  <LinksUpToDate>false</LinksUpToDate>
  <CharactersWithSpaces>4503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cp:lastPrinted>2022-08-28T11:52:00Z</cp:lastPrinted>
  <dcterms:modified xsi:type="dcterms:W3CDTF">2022-08-31T08:17:01Z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8040E5319DF8438F9AF461AC7598704D</vt:lpwstr>
  </property>
</Properties>
</file>