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优抚补助资金项目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pStyle w:val="29"/>
        <w:keepNext w:val="0"/>
        <w:keepLines w:val="0"/>
        <w:pageBreakBefore w:val="0"/>
        <w:widowControl w:val="0"/>
        <w:shd w:val="clear" w:color="auto" w:fill="auto"/>
        <w:kinsoku/>
        <w:wordWrap/>
        <w:overflowPunct/>
        <w:topLinePunct w:val="0"/>
        <w:autoSpaceDE/>
        <w:autoSpaceDN/>
        <w:bidi w:val="0"/>
        <w:adjustRightInd w:val="0"/>
        <w:snapToGrid w:val="0"/>
        <w:spacing w:before="0" w:line="560" w:lineRule="exact"/>
        <w:ind w:left="0" w:right="0" w:firstLine="1360"/>
        <w:jc w:val="both"/>
        <w:textAlignment w:val="auto"/>
        <w:rPr>
          <w:rFonts w:hint="eastAsia" w:ascii="仿宋" w:hAnsi="仿宋" w:eastAsia="仿宋" w:cs="宋体"/>
          <w:color w:val="333333"/>
          <w:kern w:val="0"/>
          <w:sz w:val="32"/>
          <w:szCs w:val="32"/>
          <w:u w:val="none"/>
          <w:shd w:val="clear"/>
          <w:lang w:val="en-US" w:eastAsia="zh-CN" w:bidi="ar-SA"/>
        </w:rPr>
      </w:pPr>
      <w:bookmarkStart w:id="7" w:name="_Toc79333433"/>
      <w:r>
        <w:rPr>
          <w:rFonts w:hint="eastAsia" w:ascii="仿宋" w:hAnsi="仿宋" w:eastAsia="仿宋" w:cs="宋体"/>
          <w:color w:val="333333"/>
          <w:kern w:val="0"/>
          <w:sz w:val="32"/>
          <w:szCs w:val="32"/>
          <w:u w:val="none"/>
          <w:shd w:val="clear"/>
          <w:lang w:val="en-US" w:eastAsia="zh-CN" w:bidi="ar-SA"/>
        </w:rPr>
        <w:t>为了保障国家对军人的抚恤优待，激励军人保卫祖国、 建设祖国的献身精神，加强国防和军队建设，国务院于1988 年7月18日发布了《军人抚恤优待条例》，后经多次修订, 目前按照国务院、中央军委2004年8月1日发布的《军人 抚恤优待条例》（令第413号）和2011年7月29日发布的 《国务院、中央军事委员会关于修改</w:t>
      </w:r>
      <w:r>
        <w:rPr>
          <w:rFonts w:hint="eastAsia" w:ascii="仿宋" w:hAnsi="仿宋" w:eastAsia="仿宋" w:cs="宋体"/>
          <w:color w:val="333333"/>
          <w:kern w:val="0"/>
          <w:sz w:val="32"/>
          <w:szCs w:val="32"/>
          <w:u w:val="none"/>
          <w:shd w:val="clear"/>
          <w:lang w:val="zh-CN" w:eastAsia="zh-CN" w:bidi="ar-SA"/>
        </w:rPr>
        <w:t>〈军</w:t>
      </w:r>
      <w:r>
        <w:rPr>
          <w:rFonts w:hint="eastAsia" w:ascii="仿宋" w:hAnsi="仿宋" w:eastAsia="仿宋" w:cs="宋体"/>
          <w:color w:val="333333"/>
          <w:kern w:val="0"/>
          <w:sz w:val="32"/>
          <w:szCs w:val="32"/>
          <w:u w:val="none"/>
          <w:shd w:val="clear"/>
          <w:lang w:val="en-US" w:eastAsia="zh-CN" w:bidi="ar-SA"/>
        </w:rPr>
        <w:t>人抚恤优待条例〉的 决定》（令第602号）执行。</w:t>
      </w:r>
    </w:p>
    <w:p>
      <w:pPr>
        <w:pStyle w:val="29"/>
        <w:keepNext w:val="0"/>
        <w:keepLines w:val="0"/>
        <w:pageBreakBefore w:val="0"/>
        <w:widowControl w:val="0"/>
        <w:shd w:val="clear" w:color="auto" w:fill="auto"/>
        <w:kinsoku/>
        <w:wordWrap/>
        <w:overflowPunct/>
        <w:topLinePunct w:val="0"/>
        <w:autoSpaceDE/>
        <w:autoSpaceDN/>
        <w:bidi w:val="0"/>
        <w:adjustRightInd w:val="0"/>
        <w:snapToGrid w:val="0"/>
        <w:spacing w:before="0" w:line="560" w:lineRule="exact"/>
        <w:ind w:left="0" w:right="0" w:firstLine="1360"/>
        <w:jc w:val="both"/>
        <w:textAlignment w:val="auto"/>
        <w:rPr>
          <w:rFonts w:hint="eastAsia" w:ascii="仿宋" w:hAnsi="仿宋" w:eastAsia="仿宋" w:cs="宋体"/>
          <w:color w:val="333333"/>
          <w:kern w:val="0"/>
          <w:sz w:val="32"/>
          <w:szCs w:val="32"/>
          <w:u w:val="none"/>
          <w:shd w:val="clear"/>
          <w:lang w:val="en-US" w:eastAsia="zh-CN" w:bidi="ar-SA"/>
        </w:rPr>
      </w:pPr>
      <w:r>
        <w:rPr>
          <w:rFonts w:hint="eastAsia" w:ascii="仿宋" w:hAnsi="仿宋" w:eastAsia="仿宋" w:cs="宋体"/>
          <w:color w:val="333333"/>
          <w:kern w:val="0"/>
          <w:sz w:val="32"/>
          <w:szCs w:val="32"/>
          <w:u w:val="none"/>
          <w:shd w:val="clear"/>
          <w:lang w:val="en-US" w:eastAsia="zh-CN" w:bidi="ar-SA"/>
        </w:rPr>
        <w:t>《军人抚恤优待条例》规定了军人在死亡抚恤、残疾抚 恤、军人及优抚对象优待等方面的政策，明确了军人的抚恤 优待，实行国家和社会相结合的方针，保障军人的抚恤优待 与国民经济和社会发展相适应，保障抚恤优待对象的生活不 低于当地的平均生活水平。</w:t>
      </w:r>
    </w:p>
    <w:p>
      <w:pPr>
        <w:pStyle w:val="4"/>
        <w:pageBreakBefore w:val="0"/>
        <w:widowControl w:val="0"/>
        <w:kinsoku/>
        <w:wordWrap/>
        <w:overflowPunct/>
        <w:topLinePunct w:val="0"/>
        <w:autoSpaceDE/>
        <w:autoSpaceDN/>
        <w:bidi w:val="0"/>
        <w:adjustRightInd w:val="0"/>
        <w:snapToGrid w:val="0"/>
        <w:ind w:firstLine="643"/>
        <w:textAlignment w:val="auto"/>
      </w:pPr>
      <w:r>
        <w:rPr>
          <w:rFonts w:hint="eastAsia"/>
        </w:rPr>
        <w:t>2、项目实施内容</w:t>
      </w:r>
      <w:bookmarkEnd w:id="7"/>
    </w:p>
    <w:p>
      <w:pPr>
        <w:pageBreakBefore w:val="0"/>
        <w:widowControl w:val="0"/>
        <w:kinsoku/>
        <w:wordWrap/>
        <w:overflowPunct/>
        <w:topLinePunct w:val="0"/>
        <w:autoSpaceDE/>
        <w:autoSpaceDN/>
        <w:bidi w:val="0"/>
        <w:adjustRightInd w:val="0"/>
        <w:snapToGrid w:val="0"/>
        <w:ind w:firstLine="640"/>
        <w:textAlignment w:val="auto"/>
        <w:rPr>
          <w:rFonts w:cs="宋体"/>
          <w:color w:val="333333"/>
          <w:kern w:val="0"/>
        </w:rPr>
      </w:pPr>
      <w:bookmarkStart w:id="8" w:name="_Toc79333434"/>
      <w:bookmarkStart w:id="9" w:name="_Toc17607"/>
      <w:bookmarkStart w:id="10" w:name="_Toc14372"/>
      <w:r>
        <w:rPr>
          <w:rFonts w:hint="eastAsia" w:cs="宋体"/>
          <w:color w:val="333333"/>
          <w:kern w:val="0"/>
        </w:rPr>
        <w:t>本次项目实施在主要内容有：</w:t>
      </w:r>
      <w:bookmarkStart w:id="11" w:name="_Hlk100593274"/>
      <w:r>
        <w:rPr>
          <w:rFonts w:hint="eastAsia" w:cs="宋体"/>
          <w:color w:val="333333"/>
          <w:kern w:val="0"/>
        </w:rPr>
        <w:t>为我县的伤残军人、参战涉核人员、带病退伍、6</w:t>
      </w:r>
      <w:r>
        <w:rPr>
          <w:rFonts w:cs="宋体"/>
          <w:color w:val="333333"/>
          <w:kern w:val="0"/>
        </w:rPr>
        <w:t>0</w:t>
      </w:r>
      <w:r>
        <w:rPr>
          <w:rFonts w:hint="eastAsia" w:cs="宋体"/>
          <w:color w:val="333333"/>
          <w:kern w:val="0"/>
        </w:rPr>
        <w:t>岁老兵、老复员军人、6</w:t>
      </w:r>
      <w:r>
        <w:rPr>
          <w:rFonts w:cs="宋体"/>
          <w:color w:val="333333"/>
          <w:kern w:val="0"/>
        </w:rPr>
        <w:t>0</w:t>
      </w:r>
      <w:r>
        <w:rPr>
          <w:rFonts w:hint="eastAsia" w:cs="宋体"/>
          <w:color w:val="333333"/>
          <w:kern w:val="0"/>
        </w:rPr>
        <w:t>岁烈士子女、烈属、解放前老党员等发放生活困难补助，落实优抚对象相关政策，切实做好抚恤优待工作和关爱帮扶工作，增强退役军人幸福感。</w:t>
      </w:r>
      <w:bookmarkEnd w:id="11"/>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w:t>
      </w:r>
      <w:r>
        <w:rPr>
          <w:rFonts w:hint="eastAsia"/>
          <w:lang w:val="en-US" w:eastAsia="zh-CN"/>
        </w:rPr>
        <w:t>7456.33</w:t>
      </w:r>
      <w:r>
        <w:rPr>
          <w:rFonts w:hint="eastAsia"/>
        </w:rPr>
        <w:t>万元，当年实际执行</w:t>
      </w:r>
      <w:r>
        <w:rPr>
          <w:rFonts w:hint="eastAsia"/>
          <w:lang w:val="en-US" w:eastAsia="zh-CN"/>
        </w:rPr>
        <w:t>7456.33</w:t>
      </w:r>
      <w:r>
        <w:rPr>
          <w:rFonts w:hint="eastAsia"/>
        </w:rPr>
        <w:t>万元。</w:t>
      </w:r>
    </w:p>
    <w:p>
      <w:pPr>
        <w:pStyle w:val="2"/>
      </w:pPr>
      <w:bookmarkStart w:id="12" w:name="_Toc75871361"/>
      <w:bookmarkStart w:id="13" w:name="_Toc79333437"/>
      <w:bookmarkStart w:id="14" w:name="_Toc1209"/>
      <w:bookmarkStart w:id="15" w:name="_Toc10420"/>
      <w:r>
        <w:rPr>
          <w:rFonts w:hint="eastAsia"/>
        </w:rPr>
        <w:t>二、绩效自评工作开展情况</w:t>
      </w:r>
      <w:bookmarkEnd w:id="12"/>
      <w:bookmarkEnd w:id="13"/>
      <w:bookmarkEnd w:id="14"/>
      <w:bookmarkEnd w:id="15"/>
    </w:p>
    <w:p>
      <w:pPr>
        <w:pStyle w:val="3"/>
      </w:pPr>
      <w:bookmarkStart w:id="16" w:name="_Toc79333438"/>
      <w:bookmarkStart w:id="17" w:name="_Toc75871362"/>
      <w:bookmarkStart w:id="18" w:name="_Toc2270"/>
      <w:r>
        <w:rPr>
          <w:rFonts w:hint="eastAsia"/>
        </w:rPr>
        <w:t>（一）绩效自评价目的和意义</w:t>
      </w:r>
      <w:bookmarkEnd w:id="16"/>
      <w:bookmarkEnd w:id="17"/>
      <w:bookmarkEnd w:id="18"/>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9" w:name="_Toc79333439"/>
      <w:bookmarkStart w:id="20" w:name="_Toc3060"/>
      <w:bookmarkStart w:id="21" w:name="_Toc75871363"/>
      <w:bookmarkStart w:id="22" w:name="_Toc5617"/>
      <w:r>
        <w:rPr>
          <w:rFonts w:hint="eastAsia"/>
        </w:rPr>
        <w:t>（二）绩效自评价对象和范围</w:t>
      </w:r>
      <w:bookmarkEnd w:id="19"/>
      <w:bookmarkEnd w:id="20"/>
      <w:bookmarkEnd w:id="21"/>
      <w:bookmarkEnd w:id="22"/>
    </w:p>
    <w:p>
      <w:pPr>
        <w:ind w:firstLine="640"/>
      </w:pPr>
      <w:r>
        <w:rPr>
          <w:rFonts w:hint="eastAsia"/>
        </w:rPr>
        <w:t>本次绩效自评价对象为优抚补助支出开支情况，评价范围为涉及该项目管理及其预算资金</w:t>
      </w:r>
      <w:r>
        <w:rPr>
          <w:rFonts w:hint="eastAsia"/>
          <w:lang w:val="en-US" w:eastAsia="zh-CN"/>
        </w:rPr>
        <w:t>7456.33</w:t>
      </w:r>
      <w:r>
        <w:rPr>
          <w:rFonts w:hint="eastAsia"/>
        </w:rPr>
        <w:t>万元的使用情况。</w:t>
      </w:r>
    </w:p>
    <w:p>
      <w:pPr>
        <w:pStyle w:val="3"/>
      </w:pPr>
      <w:bookmarkStart w:id="23" w:name="_Toc12774"/>
      <w:bookmarkStart w:id="24" w:name="_Toc8160"/>
      <w:bookmarkStart w:id="25" w:name="_Toc79333440"/>
      <w:bookmarkStart w:id="26" w:name="_Toc75871364"/>
      <w:r>
        <w:rPr>
          <w:rFonts w:hint="eastAsia"/>
        </w:rPr>
        <w:t>（三）绩效评价的依据</w:t>
      </w:r>
      <w:bookmarkEnd w:id="23"/>
      <w:bookmarkEnd w:id="24"/>
      <w:bookmarkEnd w:id="25"/>
      <w:bookmarkEnd w:id="26"/>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7" w:name="_Toc75871365"/>
      <w:bookmarkStart w:id="28" w:name="_Toc9578"/>
      <w:bookmarkStart w:id="29" w:name="_Toc79333441"/>
      <w:bookmarkStart w:id="30" w:name="_Toc13521"/>
      <w:r>
        <w:rPr>
          <w:rFonts w:hint="eastAsia"/>
        </w:rPr>
        <w:t>（四）评分方法</w:t>
      </w:r>
      <w:bookmarkEnd w:id="27"/>
      <w:bookmarkEnd w:id="28"/>
      <w:bookmarkEnd w:id="29"/>
      <w:bookmarkEnd w:id="30"/>
    </w:p>
    <w:p>
      <w:pPr>
        <w:ind w:firstLine="640"/>
      </w:pPr>
      <w:bookmarkStart w:id="31"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2" w:name="_Toc489"/>
      <w:bookmarkStart w:id="33" w:name="_Toc75871366"/>
      <w:bookmarkStart w:id="34" w:name="_Toc79333442"/>
      <w:r>
        <w:rPr>
          <w:rFonts w:hint="eastAsia"/>
        </w:rPr>
        <w:t>（五）绩效自评工作组织</w:t>
      </w:r>
      <w:bookmarkEnd w:id="31"/>
      <w:bookmarkEnd w:id="32"/>
      <w:bookmarkEnd w:id="33"/>
      <w:bookmarkEnd w:id="34"/>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5" w:name="_Toc79333443"/>
      <w:bookmarkStart w:id="36" w:name="_Toc24506"/>
      <w:r>
        <w:rPr>
          <w:rFonts w:hint="eastAsia"/>
        </w:rPr>
        <w:t>三、绩效自评结果及分析</w:t>
      </w:r>
      <w:bookmarkEnd w:id="35"/>
      <w:bookmarkEnd w:id="36"/>
    </w:p>
    <w:p>
      <w:pPr>
        <w:pStyle w:val="3"/>
      </w:pPr>
      <w:bookmarkStart w:id="37" w:name="_Toc25356"/>
      <w:bookmarkStart w:id="38" w:name="_Toc4028"/>
      <w:bookmarkStart w:id="39" w:name="_Toc79333444"/>
      <w:r>
        <w:t>（一）绩效自评价结果</w:t>
      </w:r>
      <w:bookmarkEnd w:id="37"/>
      <w:bookmarkEnd w:id="38"/>
      <w:bookmarkEnd w:id="39"/>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优抚补助人数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优抚对象覆盖率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优抚对象</w:t>
            </w:r>
            <w:r>
              <w:rPr>
                <w:rFonts w:hint="eastAsia"/>
                <w:lang w:eastAsia="zh-CN"/>
              </w:rPr>
              <w:t>补助发放</w:t>
            </w:r>
            <w:r>
              <w:rPr>
                <w:rFonts w:hint="eastAsia"/>
              </w:rPr>
              <w:t>足额率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发放优抚补助及时性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维护优抚对象合法权益，维护涉军群体稳定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让优抚对象感受到党和政府的关怀</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优抚对象满意度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40" w:name="_Toc79333445"/>
      <w:bookmarkStart w:id="41" w:name="_Toc31442"/>
      <w:bookmarkStart w:id="42" w:name="_Toc24245"/>
      <w:r>
        <w:rPr>
          <w:rFonts w:hint="eastAsia"/>
        </w:rPr>
        <w:t>（二）自评指标分析</w:t>
      </w:r>
      <w:bookmarkEnd w:id="40"/>
      <w:bookmarkEnd w:id="41"/>
      <w:bookmarkEnd w:id="42"/>
    </w:p>
    <w:p>
      <w:pPr>
        <w:pStyle w:val="4"/>
        <w:ind w:firstLine="643"/>
      </w:pPr>
      <w:bookmarkStart w:id="43" w:name="_Toc9747"/>
      <w:bookmarkStart w:id="44" w:name="_Toc79333446"/>
      <w:r>
        <w:rPr>
          <w:rFonts w:hint="eastAsia"/>
        </w:rPr>
        <w:t>1、预算执行指标分析</w:t>
      </w:r>
      <w:bookmarkEnd w:id="43"/>
      <w:bookmarkEnd w:id="44"/>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w:t>
      </w:r>
      <w:r>
        <w:rPr>
          <w:rFonts w:hint="eastAsia"/>
          <w:lang w:val="en-US" w:eastAsia="zh-CN"/>
        </w:rPr>
        <w:t>7456.33</w:t>
      </w:r>
      <w:r>
        <w:rPr>
          <w:rFonts w:hint="eastAsia"/>
        </w:rPr>
        <w:t>万元，全年执行数为</w:t>
      </w:r>
      <w:r>
        <w:rPr>
          <w:rFonts w:hint="eastAsia"/>
          <w:lang w:val="en-US" w:eastAsia="zh-CN"/>
        </w:rPr>
        <w:t>7456.33</w:t>
      </w:r>
      <w:r>
        <w:rPr>
          <w:rFonts w:hint="eastAsia"/>
        </w:rPr>
        <w:t>万元，预算执行率100</w:t>
      </w:r>
      <w:r>
        <w:t>%，根据评分标准，预算执行率得分</w:t>
      </w:r>
      <w:r>
        <w:rPr>
          <w:rFonts w:hint="eastAsia"/>
        </w:rPr>
        <w:t>10分。</w:t>
      </w:r>
    </w:p>
    <w:p>
      <w:pPr>
        <w:pStyle w:val="4"/>
        <w:ind w:firstLine="643"/>
      </w:pPr>
      <w:bookmarkStart w:id="45" w:name="_Toc79333447"/>
      <w:r>
        <w:rPr>
          <w:rFonts w:hint="eastAsia"/>
        </w:rPr>
        <w:t>2、产出指标分析</w:t>
      </w:r>
      <w:bookmarkEnd w:id="45"/>
    </w:p>
    <w:p>
      <w:pPr>
        <w:ind w:firstLine="640"/>
      </w:pPr>
      <w:r>
        <w:rPr>
          <w:rFonts w:hint="eastAsia"/>
        </w:rPr>
        <w:t>一级指标“产出指标”下设三个二级指标分别是：“数量指标”、“质量指标”、“时效指标”和“成本指标”。</w:t>
      </w:r>
    </w:p>
    <w:p>
      <w:pPr>
        <w:ind w:firstLine="640"/>
      </w:pPr>
      <w:r>
        <w:rPr>
          <w:rFonts w:hint="eastAsia"/>
        </w:rPr>
        <w:t>（1）数量指标</w:t>
      </w:r>
    </w:p>
    <w:p>
      <w:pPr>
        <w:ind w:firstLine="640"/>
      </w:pPr>
      <w:r>
        <w:rPr>
          <w:rFonts w:hint="eastAsia"/>
        </w:rPr>
        <w:t>“数量指标”下设二个三级指标“优抚补助人数”及“优抚对象覆盖率”。</w:t>
      </w:r>
    </w:p>
    <w:p>
      <w:pPr>
        <w:ind w:firstLine="640"/>
      </w:pPr>
      <w:r>
        <w:rPr>
          <w:rFonts w:hint="eastAsia"/>
        </w:rPr>
        <w:t>截止2</w:t>
      </w:r>
      <w:r>
        <w:t>02</w:t>
      </w:r>
      <w:r>
        <w:rPr>
          <w:rFonts w:hint="eastAsia"/>
        </w:rPr>
        <w:t>1年1</w:t>
      </w:r>
      <w:r>
        <w:t>2</w:t>
      </w:r>
      <w:r>
        <w:rPr>
          <w:rFonts w:hint="eastAsia"/>
        </w:rPr>
        <w:t>月3</w:t>
      </w:r>
      <w:r>
        <w:t>1</w:t>
      </w:r>
      <w:r>
        <w:rPr>
          <w:rFonts w:hint="eastAsia"/>
        </w:rPr>
        <w:t>日，优抚补助人数为</w:t>
      </w:r>
      <w:r>
        <w:t>9988人</w:t>
      </w:r>
      <w:r>
        <w:rPr>
          <w:rFonts w:hint="eastAsia"/>
        </w:rPr>
        <w:t>，该指标标准分值1</w:t>
      </w:r>
      <w:r>
        <w:t>5分，得</w:t>
      </w:r>
      <w:r>
        <w:rPr>
          <w:rFonts w:hint="eastAsia"/>
        </w:rPr>
        <w:t>1</w:t>
      </w:r>
      <w:r>
        <w:t>5分</w:t>
      </w:r>
      <w:r>
        <w:rPr>
          <w:rFonts w:hint="eastAsia"/>
        </w:rPr>
        <w:t>；优抚对象覆盖率达到1</w:t>
      </w:r>
      <w:r>
        <w:t>00</w:t>
      </w:r>
      <w:r>
        <w:rPr>
          <w:rFonts w:hint="eastAsia"/>
        </w:rPr>
        <w:t>%，该指标标准分值1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“质量指标”下设一个三级指标“优抚对象</w:t>
      </w:r>
      <w:r>
        <w:rPr>
          <w:rFonts w:hint="eastAsia"/>
          <w:lang w:eastAsia="zh-CN"/>
        </w:rPr>
        <w:t>补助发放</w:t>
      </w:r>
      <w:r>
        <w:rPr>
          <w:rFonts w:hint="eastAsia"/>
        </w:rPr>
        <w:t>足额率”。</w:t>
      </w:r>
    </w:p>
    <w:p>
      <w:pPr>
        <w:ind w:firstLine="640"/>
      </w:pPr>
      <w:r>
        <w:rPr>
          <w:rFonts w:hint="eastAsia"/>
        </w:rPr>
        <w:t>优抚对象社保</w:t>
      </w:r>
      <w:r>
        <w:rPr>
          <w:rFonts w:hint="eastAsia"/>
          <w:lang w:eastAsia="zh-CN"/>
        </w:rPr>
        <w:t>补助发放</w:t>
      </w:r>
      <w:bookmarkStart w:id="66" w:name="_GoBack"/>
      <w:bookmarkEnd w:id="66"/>
      <w:r>
        <w:rPr>
          <w:rFonts w:hint="eastAsia"/>
        </w:rPr>
        <w:t>足额率达到1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“时效指标”下设一个三级指标“发放优抚补助及时性”。</w:t>
      </w:r>
    </w:p>
    <w:p>
      <w:pPr>
        <w:ind w:firstLine="640"/>
      </w:pPr>
      <w:bookmarkStart w:id="46" w:name="_Hlk79160389"/>
      <w:r>
        <w:rPr>
          <w:rFonts w:hint="eastAsia"/>
        </w:rPr>
        <w:t>发放优抚补助及时达到1</w:t>
      </w:r>
      <w:r>
        <w:t>00</w:t>
      </w:r>
      <w:r>
        <w:rPr>
          <w:rFonts w:hint="eastAsia"/>
        </w:rPr>
        <w:t>%。该指标标准分值为10</w:t>
      </w:r>
      <w:r>
        <w:t>分，得分为</w:t>
      </w:r>
      <w:r>
        <w:rPr>
          <w:rFonts w:hint="eastAsia"/>
        </w:rPr>
        <w:t>1</w:t>
      </w:r>
      <w:r>
        <w:t>0分</w:t>
      </w:r>
      <w:r>
        <w:rPr>
          <w:rFonts w:hint="eastAsia"/>
        </w:rPr>
        <w:t>。</w:t>
      </w:r>
    </w:p>
    <w:bookmarkEnd w:id="46"/>
    <w:p>
      <w:pPr>
        <w:pStyle w:val="4"/>
        <w:ind w:firstLine="643"/>
      </w:pPr>
      <w:bookmarkStart w:id="47" w:name="_Toc79333448"/>
      <w:r>
        <w:t>3、效益指标分析</w:t>
      </w:r>
      <w:bookmarkEnd w:id="47"/>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“社会效益”下设三级指标“维护优抚对象合法权益，维护涉军群体稳定”和“让优抚对象感受到党和政府的关怀”。</w:t>
      </w:r>
    </w:p>
    <w:p>
      <w:pPr>
        <w:ind w:firstLine="640"/>
      </w:pPr>
      <w:r>
        <w:rPr>
          <w:rFonts w:hint="eastAsia"/>
        </w:rPr>
        <w:t>进一步维护优抚对象合法权益，维护涉军群体稳定。该指标标准分值为</w:t>
      </w:r>
      <w:r>
        <w:t>15</w:t>
      </w:r>
      <w:r>
        <w:rPr>
          <w:rFonts w:hint="eastAsia"/>
        </w:rPr>
        <w:t>分，实际综合得分为</w:t>
      </w:r>
      <w:r>
        <w:t>14</w:t>
      </w:r>
      <w:r>
        <w:rPr>
          <w:rFonts w:hint="eastAsia"/>
        </w:rPr>
        <w:t>分。进一步让优抚对象感受到党和政府的关怀。该指标标准分值为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8" w:name="_Toc79333449"/>
      <w:r>
        <w:t>4、满意度指标分析</w:t>
      </w:r>
      <w:bookmarkEnd w:id="48"/>
    </w:p>
    <w:p>
      <w:pPr>
        <w:ind w:firstLine="640"/>
      </w:pPr>
      <w:r>
        <w:rPr>
          <w:rFonts w:hint="eastAsia"/>
        </w:rPr>
        <w:t>满意度：项目满意率达到95%，该项指标标准分值10分，得分为</w:t>
      </w:r>
      <w:r>
        <w:t>10</w:t>
      </w:r>
      <w:r>
        <w:rPr>
          <w:rFonts w:hint="eastAsia"/>
        </w:rPr>
        <w:t>分。</w:t>
      </w:r>
    </w:p>
    <w:p>
      <w:pPr>
        <w:pStyle w:val="2"/>
      </w:pPr>
      <w:bookmarkStart w:id="49" w:name="_Toc29830"/>
      <w:bookmarkStart w:id="50" w:name="_Toc1809"/>
      <w:bookmarkStart w:id="51" w:name="_Toc79333450"/>
      <w:r>
        <w:rPr>
          <w:rFonts w:hint="eastAsia"/>
        </w:rPr>
        <w:t>四、成果和问题</w:t>
      </w:r>
      <w:bookmarkEnd w:id="49"/>
      <w:bookmarkEnd w:id="50"/>
      <w:bookmarkEnd w:id="51"/>
    </w:p>
    <w:p>
      <w:pPr>
        <w:pStyle w:val="3"/>
      </w:pPr>
      <w:bookmarkStart w:id="52" w:name="_Toc79333451"/>
      <w:bookmarkStart w:id="53" w:name="_Toc30565"/>
      <w:r>
        <w:rPr>
          <w:rFonts w:hint="eastAsia"/>
        </w:rPr>
        <w:t>（一）项目实施的成果</w:t>
      </w:r>
      <w:bookmarkEnd w:id="52"/>
      <w:bookmarkEnd w:id="53"/>
    </w:p>
    <w:p>
      <w:pPr>
        <w:ind w:firstLine="640"/>
      </w:pPr>
      <w:bookmarkStart w:id="54" w:name="_Toc30691"/>
      <w:bookmarkStart w:id="55" w:name="_Toc79333452"/>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4"/>
      <w:bookmarkEnd w:id="55"/>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6" w:name="_Toc27227"/>
      <w:bookmarkStart w:id="57" w:name="_Toc79333453"/>
      <w:bookmarkStart w:id="58" w:name="_Toc6382"/>
      <w:r>
        <w:rPr>
          <w:rFonts w:hint="eastAsia"/>
        </w:rPr>
        <w:t>五、建议</w:t>
      </w:r>
      <w:bookmarkEnd w:id="56"/>
      <w:bookmarkEnd w:id="57"/>
      <w:bookmarkEnd w:id="58"/>
    </w:p>
    <w:p>
      <w:pPr>
        <w:pStyle w:val="3"/>
      </w:pPr>
      <w:bookmarkStart w:id="59" w:name="_Toc18797"/>
      <w:bookmarkStart w:id="60" w:name="_Toc79333454"/>
      <w:r>
        <w:rPr>
          <w:rFonts w:hint="eastAsia"/>
        </w:rPr>
        <w:t>（一）强化预算绩效管理意识，提升项目产出效益</w:t>
      </w:r>
      <w:bookmarkEnd w:id="59"/>
      <w:bookmarkEnd w:id="60"/>
    </w:p>
    <w:p>
      <w:pPr>
        <w:ind w:firstLine="640"/>
        <w:rPr>
          <w:color w:val="000000" w:themeColor="text1"/>
          <w14:textFill>
            <w14:solidFill>
              <w14:schemeClr w14:val="tx1"/>
            </w14:solidFill>
          </w14:textFill>
        </w:rPr>
      </w:pPr>
      <w:bookmarkStart w:id="61" w:name="_Toc19326"/>
      <w:bookmarkStart w:id="62"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1"/>
      <w:bookmarkEnd w:id="62"/>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3" w:name="_Toc665"/>
      <w:bookmarkStart w:id="64" w:name="_Toc6061"/>
      <w:bookmarkStart w:id="65" w:name="_Toc79333457"/>
      <w:r>
        <w:rPr>
          <w:rFonts w:hint="eastAsia"/>
        </w:rPr>
        <w:t>六、其他需要说明的问题</w:t>
      </w:r>
      <w:bookmarkEnd w:id="63"/>
      <w:bookmarkEnd w:id="64"/>
      <w:bookmarkEnd w:id="65"/>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5125"/>
    <w:rsid w:val="00033BB4"/>
    <w:rsid w:val="000345D3"/>
    <w:rsid w:val="0003465C"/>
    <w:rsid w:val="00037912"/>
    <w:rsid w:val="0007513C"/>
    <w:rsid w:val="00084C11"/>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778A"/>
    <w:rsid w:val="001B0C73"/>
    <w:rsid w:val="001B4AF7"/>
    <w:rsid w:val="001B6E21"/>
    <w:rsid w:val="001C2BC4"/>
    <w:rsid w:val="001C4182"/>
    <w:rsid w:val="001D3BA3"/>
    <w:rsid w:val="001D6625"/>
    <w:rsid w:val="001D7097"/>
    <w:rsid w:val="001E2DE8"/>
    <w:rsid w:val="001E52A5"/>
    <w:rsid w:val="00206C6A"/>
    <w:rsid w:val="00223B68"/>
    <w:rsid w:val="00224728"/>
    <w:rsid w:val="00227546"/>
    <w:rsid w:val="00242935"/>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216F0"/>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2E06"/>
    <w:rsid w:val="0042364F"/>
    <w:rsid w:val="004333B5"/>
    <w:rsid w:val="00441F6E"/>
    <w:rsid w:val="004478BE"/>
    <w:rsid w:val="004839E2"/>
    <w:rsid w:val="004869ED"/>
    <w:rsid w:val="00496DC4"/>
    <w:rsid w:val="004A7A9E"/>
    <w:rsid w:val="004B04EA"/>
    <w:rsid w:val="004B274D"/>
    <w:rsid w:val="004B59BE"/>
    <w:rsid w:val="004B702C"/>
    <w:rsid w:val="004C4A8B"/>
    <w:rsid w:val="004C73AE"/>
    <w:rsid w:val="004D1D02"/>
    <w:rsid w:val="004D38F1"/>
    <w:rsid w:val="004E5F55"/>
    <w:rsid w:val="00500253"/>
    <w:rsid w:val="00511AED"/>
    <w:rsid w:val="005161FA"/>
    <w:rsid w:val="00532771"/>
    <w:rsid w:val="005360C8"/>
    <w:rsid w:val="00544CD5"/>
    <w:rsid w:val="00546688"/>
    <w:rsid w:val="00557295"/>
    <w:rsid w:val="0057125A"/>
    <w:rsid w:val="00574FF2"/>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208C"/>
    <w:rsid w:val="00761B7C"/>
    <w:rsid w:val="00766ECA"/>
    <w:rsid w:val="00775087"/>
    <w:rsid w:val="00787EC4"/>
    <w:rsid w:val="00797828"/>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B46E7"/>
    <w:rsid w:val="008C005F"/>
    <w:rsid w:val="008C5DBA"/>
    <w:rsid w:val="008D1D7D"/>
    <w:rsid w:val="008E6B96"/>
    <w:rsid w:val="008F2D7E"/>
    <w:rsid w:val="008F4B3C"/>
    <w:rsid w:val="008F4C9D"/>
    <w:rsid w:val="009245ED"/>
    <w:rsid w:val="00926ECE"/>
    <w:rsid w:val="00934336"/>
    <w:rsid w:val="00941B1F"/>
    <w:rsid w:val="009422C0"/>
    <w:rsid w:val="00970DB8"/>
    <w:rsid w:val="009761A3"/>
    <w:rsid w:val="009778B5"/>
    <w:rsid w:val="00984FD9"/>
    <w:rsid w:val="00987BBA"/>
    <w:rsid w:val="00996076"/>
    <w:rsid w:val="009A179D"/>
    <w:rsid w:val="009C3CD7"/>
    <w:rsid w:val="009D346F"/>
    <w:rsid w:val="009E1278"/>
    <w:rsid w:val="009E624C"/>
    <w:rsid w:val="009F1930"/>
    <w:rsid w:val="009F1EC3"/>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3EF4"/>
    <w:rsid w:val="00AC11B2"/>
    <w:rsid w:val="00AD4EBA"/>
    <w:rsid w:val="00AF224E"/>
    <w:rsid w:val="00AF6F73"/>
    <w:rsid w:val="00B048F0"/>
    <w:rsid w:val="00B14E63"/>
    <w:rsid w:val="00B239B6"/>
    <w:rsid w:val="00B40DB3"/>
    <w:rsid w:val="00B466AA"/>
    <w:rsid w:val="00B62F12"/>
    <w:rsid w:val="00B63496"/>
    <w:rsid w:val="00B81089"/>
    <w:rsid w:val="00B8648A"/>
    <w:rsid w:val="00BD1819"/>
    <w:rsid w:val="00BD7931"/>
    <w:rsid w:val="00BE677A"/>
    <w:rsid w:val="00BF24E9"/>
    <w:rsid w:val="00C21D02"/>
    <w:rsid w:val="00C25E88"/>
    <w:rsid w:val="00C35AE1"/>
    <w:rsid w:val="00C66709"/>
    <w:rsid w:val="00C71C69"/>
    <w:rsid w:val="00C80024"/>
    <w:rsid w:val="00C933C7"/>
    <w:rsid w:val="00C95930"/>
    <w:rsid w:val="00CA4B99"/>
    <w:rsid w:val="00CB46EF"/>
    <w:rsid w:val="00CB54A7"/>
    <w:rsid w:val="00CD2B60"/>
    <w:rsid w:val="00CF2DA9"/>
    <w:rsid w:val="00CF491C"/>
    <w:rsid w:val="00CF699C"/>
    <w:rsid w:val="00D07830"/>
    <w:rsid w:val="00D15E31"/>
    <w:rsid w:val="00D22296"/>
    <w:rsid w:val="00D476C0"/>
    <w:rsid w:val="00D57A69"/>
    <w:rsid w:val="00D70EB7"/>
    <w:rsid w:val="00D7279B"/>
    <w:rsid w:val="00D81871"/>
    <w:rsid w:val="00D9580A"/>
    <w:rsid w:val="00DA2131"/>
    <w:rsid w:val="00DA365D"/>
    <w:rsid w:val="00DB04E5"/>
    <w:rsid w:val="00DC0EB4"/>
    <w:rsid w:val="00DD348E"/>
    <w:rsid w:val="00DD78B0"/>
    <w:rsid w:val="00DE66BC"/>
    <w:rsid w:val="00DF14FC"/>
    <w:rsid w:val="00E008C2"/>
    <w:rsid w:val="00E12715"/>
    <w:rsid w:val="00E24223"/>
    <w:rsid w:val="00E56A15"/>
    <w:rsid w:val="00E72D09"/>
    <w:rsid w:val="00E731B0"/>
    <w:rsid w:val="00E750CA"/>
    <w:rsid w:val="00E80793"/>
    <w:rsid w:val="00E81348"/>
    <w:rsid w:val="00E82D87"/>
    <w:rsid w:val="00E96285"/>
    <w:rsid w:val="00EB256C"/>
    <w:rsid w:val="00EB37C1"/>
    <w:rsid w:val="00EB7236"/>
    <w:rsid w:val="00ED2DB2"/>
    <w:rsid w:val="00EE3F62"/>
    <w:rsid w:val="00EE5338"/>
    <w:rsid w:val="00EF42C1"/>
    <w:rsid w:val="00F03325"/>
    <w:rsid w:val="00F04028"/>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1F80490F"/>
    <w:rsid w:val="20485E60"/>
    <w:rsid w:val="21032E75"/>
    <w:rsid w:val="2449572C"/>
    <w:rsid w:val="2636356A"/>
    <w:rsid w:val="28577A06"/>
    <w:rsid w:val="289B411C"/>
    <w:rsid w:val="2AE845D1"/>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996316A"/>
    <w:rsid w:val="5AB32FF2"/>
    <w:rsid w:val="5CD42C71"/>
    <w:rsid w:val="5EF7517C"/>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paragraph" w:customStyle="1" w:styleId="29">
    <w:name w:val="Body text|1"/>
    <w:basedOn w:val="1"/>
    <w:qFormat/>
    <w:uiPriority w:val="0"/>
    <w:pPr>
      <w:widowControl w:val="0"/>
      <w:shd w:val="clear" w:color="auto" w:fill="auto"/>
      <w:spacing w:line="434" w:lineRule="auto"/>
      <w:ind w:firstLine="400"/>
    </w:pPr>
    <w:rPr>
      <w:rFonts w:ascii="宋体" w:hAnsi="宋体" w:eastAsia="宋体" w:cs="宋体"/>
      <w:sz w:val="62"/>
      <w:szCs w:val="6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11</Pages>
  <Words>3396</Words>
  <Characters>3573</Characters>
  <Lines>33</Lines>
  <Paragraphs>9</Paragraphs>
  <TotalTime>2</TotalTime>
  <ScaleCrop>false</ScaleCrop>
  <LinksUpToDate>false</LinksUpToDate>
  <CharactersWithSpaces>3621</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2022-08-29T03:18:46Z</cp:lastPrinted>
  <dcterms:modified xsi:type="dcterms:W3CDTF">2022-08-29T03:20:59Z</dcterms:modified>
  <dc:subject>15515993457</dc:subject>
  <dc:title>昭元自评模板</dc:title>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