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7"/>
      </w:pPr>
      <w:bookmarkStart w:id="0" w:name="_Toc11908"/>
    </w:p>
    <w:p>
      <w:pPr>
        <w:ind w:firstLine="0" w:firstLineChars="0"/>
        <w:jc w:val="center"/>
        <w:rPr>
          <w:rFonts w:ascii="宋体" w:hAnsi="宋体" w:eastAsia="宋体"/>
          <w:b/>
          <w:sz w:val="52"/>
          <w:szCs w:val="52"/>
        </w:rPr>
      </w:pPr>
    </w:p>
    <w:p>
      <w:pPr>
        <w:pStyle w:val="25"/>
        <w:rPr>
          <w:rFonts w:ascii="宋体" w:hAnsi="宋体" w:cs="宋体"/>
          <w:sz w:val="52"/>
          <w:szCs w:val="52"/>
        </w:rPr>
      </w:pPr>
      <w:r>
        <w:rPr>
          <w:rFonts w:hint="eastAsia" w:ascii="宋体" w:hAnsi="宋体" w:cs="宋体"/>
          <w:sz w:val="52"/>
          <w:szCs w:val="52"/>
        </w:rPr>
        <w:t>退役士兵公益岗项目</w:t>
      </w:r>
    </w:p>
    <w:p>
      <w:pPr>
        <w:pStyle w:val="25"/>
        <w:rPr>
          <w:rFonts w:ascii="宋体" w:hAnsi="宋体" w:cs="宋体"/>
        </w:rPr>
      </w:pPr>
      <w:r>
        <w:rPr>
          <w:rFonts w:hint="eastAsia" w:ascii="宋体" w:hAnsi="宋体" w:cs="宋体"/>
          <w:sz w:val="52"/>
          <w:szCs w:val="52"/>
        </w:rPr>
        <w:t>支出绩效自评总结报告</w:t>
      </w:r>
    </w:p>
    <w:p>
      <w:pPr>
        <w:ind w:firstLine="0" w:firstLineChars="0"/>
        <w:jc w:val="center"/>
        <w:rPr>
          <w:rFonts w:ascii="宋体" w:hAnsi="宋体" w:eastAsia="宋体"/>
          <w:b/>
          <w:sz w:val="52"/>
          <w:szCs w:val="52"/>
        </w:rPr>
      </w:pPr>
    </w:p>
    <w:p>
      <w:pPr>
        <w:ind w:firstLine="0" w:firstLineChars="0"/>
        <w:jc w:val="center"/>
      </w:pPr>
    </w:p>
    <w:p>
      <w:pPr>
        <w:ind w:firstLine="0" w:firstLineChars="0"/>
        <w:jc w:val="center"/>
        <w:rPr>
          <w:rFonts w:ascii="宋体" w:hAnsi="宋体" w:eastAsia="宋体"/>
          <w:b/>
          <w:sz w:val="52"/>
          <w:szCs w:val="52"/>
        </w:rPr>
      </w:pPr>
    </w:p>
    <w:p>
      <w:pPr>
        <w:pStyle w:val="27"/>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36"/>
          <w:szCs w:val="36"/>
        </w:rPr>
      </w:pPr>
    </w:p>
    <w:p>
      <w:pPr>
        <w:ind w:firstLine="0" w:firstLineChars="0"/>
        <w:jc w:val="center"/>
        <w:rPr>
          <w:rFonts w:ascii="宋体" w:hAnsi="宋体" w:eastAsia="宋体"/>
          <w:b/>
          <w:sz w:val="36"/>
          <w:szCs w:val="36"/>
        </w:rPr>
      </w:pPr>
    </w:p>
    <w:p>
      <w:pPr>
        <w:ind w:firstLine="0" w:firstLineChars="0"/>
        <w:jc w:val="center"/>
        <w:rPr>
          <w:rFonts w:ascii="宋体" w:hAnsi="宋体" w:eastAsia="宋体"/>
          <w:b/>
          <w:sz w:val="36"/>
          <w:szCs w:val="36"/>
        </w:rPr>
      </w:pPr>
    </w:p>
    <w:p>
      <w:pPr>
        <w:ind w:firstLine="0" w:firstLineChars="0"/>
        <w:jc w:val="center"/>
        <w:rPr>
          <w:rFonts w:ascii="宋体" w:hAnsi="宋体" w:eastAsia="宋体"/>
          <w:b/>
        </w:rPr>
      </w:pPr>
      <w:r>
        <w:rPr>
          <w:rFonts w:hint="eastAsia" w:ascii="宋体" w:hAnsi="宋体" w:eastAsia="宋体"/>
          <w:b/>
        </w:rPr>
        <w:t xml:space="preserve">            自评单位：太康县退役军人事务局</w:t>
      </w:r>
    </w:p>
    <w:p>
      <w:pPr>
        <w:ind w:firstLine="0" w:firstLineChars="0"/>
        <w:jc w:val="center"/>
        <w:rPr>
          <w:rFonts w:ascii="宋体" w:hAnsi="宋体" w:eastAsia="宋体"/>
          <w:b/>
        </w:rPr>
      </w:pPr>
      <w:r>
        <w:rPr>
          <w:rFonts w:hint="eastAsia" w:ascii="宋体" w:hAnsi="宋体" w:eastAsia="宋体"/>
          <w:b/>
        </w:rPr>
        <w:t>日</w:t>
      </w:r>
      <w:r>
        <w:rPr>
          <w:rFonts w:ascii="宋体" w:hAnsi="宋体" w:eastAsia="宋体"/>
          <w:b/>
        </w:rPr>
        <w:t xml:space="preserve">    </w:t>
      </w:r>
      <w:r>
        <w:rPr>
          <w:rFonts w:hint="eastAsia" w:ascii="宋体" w:hAnsi="宋体" w:eastAsia="宋体"/>
          <w:b/>
        </w:rPr>
        <w:t>期：2022年</w:t>
      </w:r>
      <w:r>
        <w:rPr>
          <w:rFonts w:hint="eastAsia" w:ascii="宋体" w:hAnsi="宋体" w:eastAsia="宋体"/>
          <w:b/>
          <w:lang w:val="en-US" w:eastAsia="zh-CN"/>
        </w:rPr>
        <w:t>5</w:t>
      </w:r>
      <w:r>
        <w:rPr>
          <w:rFonts w:hint="eastAsia" w:ascii="宋体" w:hAnsi="宋体" w:eastAsia="宋体"/>
          <w:b/>
        </w:rPr>
        <w:t>月</w:t>
      </w:r>
    </w:p>
    <w:p>
      <w:pPr>
        <w:pStyle w:val="10"/>
        <w:rPr>
          <w:highlight w:val="yellow"/>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pPr>
    </w:p>
    <w:p>
      <w:pPr>
        <w:ind w:firstLine="0" w:firstLineChars="0"/>
        <w:jc w:val="center"/>
        <w:rPr>
          <w:b/>
          <w:bCs/>
        </w:rPr>
      </w:pPr>
      <w:r>
        <w:rPr>
          <w:rFonts w:hint="eastAsia"/>
          <w:b/>
          <w:bCs/>
          <w:sz w:val="36"/>
          <w:szCs w:val="36"/>
        </w:rPr>
        <w:t>目</w:t>
      </w:r>
      <w:r>
        <w:rPr>
          <w:b/>
          <w:bCs/>
          <w:sz w:val="36"/>
          <w:szCs w:val="36"/>
        </w:rPr>
        <w:t xml:space="preserve"> </w:t>
      </w:r>
      <w:r>
        <w:rPr>
          <w:rFonts w:hint="eastAsia"/>
          <w:b/>
          <w:bCs/>
          <w:sz w:val="36"/>
          <w:szCs w:val="36"/>
        </w:rPr>
        <w:t xml:space="preserve"> 录</w:t>
      </w:r>
    </w:p>
    <w:p>
      <w:pPr>
        <w:pStyle w:val="10"/>
        <w:tabs>
          <w:tab w:val="right" w:leader="dot" w:pos="8306"/>
          <w:tab w:val="clear" w:pos="8296"/>
        </w:tabs>
      </w:pPr>
      <w:r>
        <w:fldChar w:fldCharType="begin"/>
      </w:r>
      <w:r>
        <w:instrText xml:space="preserve">TOC \o "1-2" \h \u </w:instrText>
      </w:r>
      <w:r>
        <w:fldChar w:fldCharType="separate"/>
      </w:r>
      <w:r>
        <w:fldChar w:fldCharType="begin"/>
      </w:r>
      <w:r>
        <w:instrText xml:space="preserve"> HYPERLINK \l "_Toc11574" </w:instrText>
      </w:r>
      <w:r>
        <w:fldChar w:fldCharType="separate"/>
      </w:r>
      <w:r>
        <w:rPr>
          <w:rFonts w:hint="eastAsia"/>
        </w:rPr>
        <w:t>一、项目基本情况</w:t>
      </w:r>
      <w:r>
        <w:tab/>
      </w:r>
      <w:r>
        <w:fldChar w:fldCharType="begin"/>
      </w:r>
      <w:r>
        <w:instrText xml:space="preserve"> PAGEREF _Toc11574 \h </w:instrText>
      </w:r>
      <w:r>
        <w:fldChar w:fldCharType="separate"/>
      </w:r>
      <w:r>
        <w:t>1</w:t>
      </w:r>
      <w:r>
        <w:fldChar w:fldCharType="end"/>
      </w:r>
      <w:r>
        <w:fldChar w:fldCharType="end"/>
      </w:r>
    </w:p>
    <w:p>
      <w:pPr>
        <w:pStyle w:val="11"/>
        <w:tabs>
          <w:tab w:val="right" w:leader="dot" w:pos="8306"/>
        </w:tabs>
        <w:ind w:left="640"/>
      </w:pPr>
      <w:r>
        <w:fldChar w:fldCharType="begin"/>
      </w:r>
      <w:r>
        <w:instrText xml:space="preserve"> HYPERLINK \l "_Toc9575" </w:instrText>
      </w:r>
      <w:r>
        <w:fldChar w:fldCharType="separate"/>
      </w:r>
      <w:r>
        <w:rPr>
          <w:rFonts w:hint="eastAsia"/>
        </w:rPr>
        <w:t>（一）项目基本信息</w:t>
      </w:r>
      <w:r>
        <w:tab/>
      </w:r>
      <w:r>
        <w:fldChar w:fldCharType="begin"/>
      </w:r>
      <w:r>
        <w:instrText xml:space="preserve"> PAGEREF _Toc9575 \h </w:instrText>
      </w:r>
      <w:r>
        <w:fldChar w:fldCharType="separate"/>
      </w:r>
      <w:r>
        <w:t>1</w:t>
      </w:r>
      <w:r>
        <w:fldChar w:fldCharType="end"/>
      </w:r>
      <w:r>
        <w:fldChar w:fldCharType="end"/>
      </w:r>
    </w:p>
    <w:p>
      <w:pPr>
        <w:pStyle w:val="11"/>
        <w:tabs>
          <w:tab w:val="right" w:leader="dot" w:pos="8306"/>
        </w:tabs>
        <w:ind w:left="640"/>
      </w:pPr>
      <w:r>
        <w:fldChar w:fldCharType="begin"/>
      </w:r>
      <w:r>
        <w:instrText xml:space="preserve"> HYPERLINK \l "_Toc17607" </w:instrText>
      </w:r>
      <w:r>
        <w:fldChar w:fldCharType="separate"/>
      </w:r>
      <w:r>
        <w:rPr>
          <w:rFonts w:hint="eastAsia"/>
        </w:rPr>
        <w:t>（二）项目支出情况</w:t>
      </w:r>
      <w:r>
        <w:tab/>
      </w:r>
      <w:r>
        <w:fldChar w:fldCharType="begin"/>
      </w:r>
      <w:r>
        <w:instrText xml:space="preserve"> PAGEREF _Toc17607 \h </w:instrText>
      </w:r>
      <w:r>
        <w:fldChar w:fldCharType="separate"/>
      </w:r>
      <w:r>
        <w:t>1</w:t>
      </w:r>
      <w:r>
        <w:fldChar w:fldCharType="end"/>
      </w:r>
      <w:r>
        <w:fldChar w:fldCharType="end"/>
      </w:r>
    </w:p>
    <w:p>
      <w:pPr>
        <w:pStyle w:val="10"/>
        <w:tabs>
          <w:tab w:val="right" w:leader="dot" w:pos="8306"/>
          <w:tab w:val="clear" w:pos="8296"/>
        </w:tabs>
      </w:pPr>
      <w:r>
        <w:fldChar w:fldCharType="begin"/>
      </w:r>
      <w:r>
        <w:instrText xml:space="preserve"> HYPERLINK \l "_Toc1209" </w:instrText>
      </w:r>
      <w:r>
        <w:fldChar w:fldCharType="separate"/>
      </w:r>
      <w:r>
        <w:rPr>
          <w:rFonts w:hint="eastAsia"/>
        </w:rPr>
        <w:t>二、绩效自评工作开展情况</w:t>
      </w:r>
      <w:r>
        <w:tab/>
      </w:r>
      <w:r>
        <w:fldChar w:fldCharType="begin"/>
      </w:r>
      <w:r>
        <w:instrText xml:space="preserve"> PAGEREF _Toc1209 \h </w:instrText>
      </w:r>
      <w:r>
        <w:fldChar w:fldCharType="separate"/>
      </w:r>
      <w:r>
        <w:t>1</w:t>
      </w:r>
      <w:r>
        <w:fldChar w:fldCharType="end"/>
      </w:r>
      <w:r>
        <w:fldChar w:fldCharType="end"/>
      </w:r>
    </w:p>
    <w:p>
      <w:pPr>
        <w:pStyle w:val="11"/>
        <w:tabs>
          <w:tab w:val="right" w:leader="dot" w:pos="8306"/>
        </w:tabs>
        <w:ind w:left="640"/>
      </w:pPr>
      <w:r>
        <w:fldChar w:fldCharType="begin"/>
      </w:r>
      <w:r>
        <w:instrText xml:space="preserve"> HYPERLINK \l "_Toc2270" </w:instrText>
      </w:r>
      <w:r>
        <w:fldChar w:fldCharType="separate"/>
      </w:r>
      <w:r>
        <w:rPr>
          <w:rFonts w:hint="eastAsia"/>
        </w:rPr>
        <w:t>（一）绩效自评价目的和意义</w:t>
      </w:r>
      <w:r>
        <w:tab/>
      </w:r>
      <w:r>
        <w:fldChar w:fldCharType="begin"/>
      </w:r>
      <w:r>
        <w:instrText xml:space="preserve"> PAGEREF _Toc2270 \h </w:instrText>
      </w:r>
      <w:r>
        <w:fldChar w:fldCharType="separate"/>
      </w:r>
      <w:r>
        <w:t>1</w:t>
      </w:r>
      <w:r>
        <w:fldChar w:fldCharType="end"/>
      </w:r>
      <w:r>
        <w:fldChar w:fldCharType="end"/>
      </w:r>
    </w:p>
    <w:p>
      <w:pPr>
        <w:pStyle w:val="11"/>
        <w:tabs>
          <w:tab w:val="right" w:leader="dot" w:pos="8306"/>
        </w:tabs>
        <w:ind w:left="640"/>
      </w:pPr>
      <w:r>
        <w:fldChar w:fldCharType="begin"/>
      </w:r>
      <w:r>
        <w:instrText xml:space="preserve"> HYPERLINK \l "_Toc5617" </w:instrText>
      </w:r>
      <w:r>
        <w:fldChar w:fldCharType="separate"/>
      </w:r>
      <w:r>
        <w:rPr>
          <w:rFonts w:hint="eastAsia"/>
        </w:rPr>
        <w:t>（二）绩效自评价对象和范围</w:t>
      </w:r>
      <w:r>
        <w:tab/>
      </w:r>
      <w:r>
        <w:fldChar w:fldCharType="begin"/>
      </w:r>
      <w:r>
        <w:instrText xml:space="preserve"> PAGEREF _Toc5617 \h </w:instrText>
      </w:r>
      <w:r>
        <w:fldChar w:fldCharType="separate"/>
      </w:r>
      <w:r>
        <w:t>2</w:t>
      </w:r>
      <w:r>
        <w:fldChar w:fldCharType="end"/>
      </w:r>
      <w:r>
        <w:fldChar w:fldCharType="end"/>
      </w:r>
    </w:p>
    <w:p>
      <w:pPr>
        <w:pStyle w:val="11"/>
        <w:tabs>
          <w:tab w:val="right" w:leader="dot" w:pos="8306"/>
        </w:tabs>
        <w:ind w:left="640"/>
      </w:pPr>
      <w:r>
        <w:fldChar w:fldCharType="begin"/>
      </w:r>
      <w:r>
        <w:instrText xml:space="preserve"> HYPERLINK \l "_Toc12774" </w:instrText>
      </w:r>
      <w:r>
        <w:fldChar w:fldCharType="separate"/>
      </w:r>
      <w:r>
        <w:rPr>
          <w:rFonts w:hint="eastAsia"/>
        </w:rPr>
        <w:t>（三）绩效评价的依据</w:t>
      </w:r>
      <w:r>
        <w:tab/>
      </w:r>
      <w:r>
        <w:fldChar w:fldCharType="begin"/>
      </w:r>
      <w:r>
        <w:instrText xml:space="preserve"> PAGEREF _Toc12774 \h </w:instrText>
      </w:r>
      <w:r>
        <w:fldChar w:fldCharType="separate"/>
      </w:r>
      <w:r>
        <w:t>2</w:t>
      </w:r>
      <w:r>
        <w:fldChar w:fldCharType="end"/>
      </w:r>
      <w:r>
        <w:fldChar w:fldCharType="end"/>
      </w:r>
    </w:p>
    <w:p>
      <w:pPr>
        <w:pStyle w:val="11"/>
        <w:tabs>
          <w:tab w:val="right" w:leader="dot" w:pos="8306"/>
        </w:tabs>
        <w:ind w:left="640"/>
      </w:pPr>
      <w:r>
        <w:fldChar w:fldCharType="begin"/>
      </w:r>
      <w:r>
        <w:instrText xml:space="preserve"> HYPERLINK \l "_Toc9578" </w:instrText>
      </w:r>
      <w:r>
        <w:fldChar w:fldCharType="separate"/>
      </w:r>
      <w:r>
        <w:rPr>
          <w:rFonts w:hint="eastAsia"/>
        </w:rPr>
        <w:t>（四）评分方法</w:t>
      </w:r>
      <w:r>
        <w:tab/>
      </w:r>
      <w:r>
        <w:fldChar w:fldCharType="begin"/>
      </w:r>
      <w:r>
        <w:instrText xml:space="preserve"> PAGEREF _Toc9578 \h </w:instrText>
      </w:r>
      <w:r>
        <w:fldChar w:fldCharType="separate"/>
      </w:r>
      <w:r>
        <w:t>2</w:t>
      </w:r>
      <w:r>
        <w:fldChar w:fldCharType="end"/>
      </w:r>
      <w:r>
        <w:fldChar w:fldCharType="end"/>
      </w:r>
    </w:p>
    <w:p>
      <w:pPr>
        <w:pStyle w:val="11"/>
        <w:tabs>
          <w:tab w:val="right" w:leader="dot" w:pos="8306"/>
        </w:tabs>
        <w:ind w:left="640"/>
      </w:pPr>
      <w:r>
        <w:fldChar w:fldCharType="begin"/>
      </w:r>
      <w:r>
        <w:instrText xml:space="preserve"> HYPERLINK \l "_Toc489" </w:instrText>
      </w:r>
      <w:r>
        <w:fldChar w:fldCharType="separate"/>
      </w:r>
      <w:r>
        <w:rPr>
          <w:rFonts w:hint="eastAsia"/>
        </w:rPr>
        <w:t>（五）绩效自评工作组织</w:t>
      </w:r>
      <w:r>
        <w:tab/>
      </w:r>
      <w:r>
        <w:fldChar w:fldCharType="begin"/>
      </w:r>
      <w:r>
        <w:instrText xml:space="preserve"> PAGEREF _Toc489 \h </w:instrText>
      </w:r>
      <w:r>
        <w:fldChar w:fldCharType="separate"/>
      </w:r>
      <w:r>
        <w:t>3</w:t>
      </w:r>
      <w:r>
        <w:fldChar w:fldCharType="end"/>
      </w:r>
      <w:r>
        <w:fldChar w:fldCharType="end"/>
      </w:r>
    </w:p>
    <w:p>
      <w:pPr>
        <w:pStyle w:val="10"/>
        <w:tabs>
          <w:tab w:val="right" w:leader="dot" w:pos="8306"/>
          <w:tab w:val="clear" w:pos="8296"/>
        </w:tabs>
      </w:pPr>
      <w:r>
        <w:fldChar w:fldCharType="begin"/>
      </w:r>
      <w:r>
        <w:instrText xml:space="preserve"> HYPERLINK \l "_Toc24506" </w:instrText>
      </w:r>
      <w:r>
        <w:fldChar w:fldCharType="separate"/>
      </w:r>
      <w:r>
        <w:rPr>
          <w:rFonts w:hint="eastAsia"/>
        </w:rPr>
        <w:t>三、绩效自评结果及分析</w:t>
      </w:r>
      <w:r>
        <w:tab/>
      </w:r>
      <w:r>
        <w:fldChar w:fldCharType="begin"/>
      </w:r>
      <w:r>
        <w:instrText xml:space="preserve"> PAGEREF _Toc24506 \h </w:instrText>
      </w:r>
      <w:r>
        <w:fldChar w:fldCharType="separate"/>
      </w:r>
      <w:r>
        <w:t>4</w:t>
      </w:r>
      <w:r>
        <w:fldChar w:fldCharType="end"/>
      </w:r>
      <w:r>
        <w:fldChar w:fldCharType="end"/>
      </w:r>
    </w:p>
    <w:p>
      <w:pPr>
        <w:pStyle w:val="11"/>
        <w:tabs>
          <w:tab w:val="right" w:leader="dot" w:pos="8306"/>
        </w:tabs>
        <w:ind w:left="640"/>
      </w:pPr>
      <w:r>
        <w:fldChar w:fldCharType="begin"/>
      </w:r>
      <w:r>
        <w:instrText xml:space="preserve"> HYPERLINK \l "_Toc25356" </w:instrText>
      </w:r>
      <w:r>
        <w:fldChar w:fldCharType="separate"/>
      </w:r>
      <w:r>
        <w:t>（一）绩效自评价结果</w:t>
      </w:r>
      <w:r>
        <w:tab/>
      </w:r>
      <w:r>
        <w:fldChar w:fldCharType="begin"/>
      </w:r>
      <w:r>
        <w:instrText xml:space="preserve"> PAGEREF _Toc25356 \h </w:instrText>
      </w:r>
      <w:r>
        <w:fldChar w:fldCharType="separate"/>
      </w:r>
      <w:r>
        <w:t>4</w:t>
      </w:r>
      <w:r>
        <w:fldChar w:fldCharType="end"/>
      </w:r>
      <w:r>
        <w:fldChar w:fldCharType="end"/>
      </w:r>
    </w:p>
    <w:p>
      <w:pPr>
        <w:pStyle w:val="11"/>
        <w:tabs>
          <w:tab w:val="right" w:leader="dot" w:pos="8306"/>
        </w:tabs>
        <w:ind w:left="640"/>
      </w:pPr>
      <w:r>
        <w:fldChar w:fldCharType="begin"/>
      </w:r>
      <w:r>
        <w:instrText xml:space="preserve"> HYPERLINK \l "_Toc24245" </w:instrText>
      </w:r>
      <w:r>
        <w:fldChar w:fldCharType="separate"/>
      </w:r>
      <w:r>
        <w:rPr>
          <w:rFonts w:hint="eastAsia"/>
        </w:rPr>
        <w:t>（二）自评指标分析</w:t>
      </w:r>
      <w:r>
        <w:tab/>
      </w:r>
      <w:r>
        <w:fldChar w:fldCharType="begin"/>
      </w:r>
      <w:r>
        <w:instrText xml:space="preserve"> PAGEREF _Toc24245 \h </w:instrText>
      </w:r>
      <w:r>
        <w:fldChar w:fldCharType="separate"/>
      </w:r>
      <w:r>
        <w:t>4</w:t>
      </w:r>
      <w:r>
        <w:fldChar w:fldCharType="end"/>
      </w:r>
      <w:r>
        <w:fldChar w:fldCharType="end"/>
      </w:r>
    </w:p>
    <w:p>
      <w:pPr>
        <w:pStyle w:val="10"/>
        <w:tabs>
          <w:tab w:val="right" w:leader="dot" w:pos="8306"/>
          <w:tab w:val="clear" w:pos="8296"/>
        </w:tabs>
      </w:pPr>
      <w:r>
        <w:fldChar w:fldCharType="begin"/>
      </w:r>
      <w:r>
        <w:instrText xml:space="preserve"> HYPERLINK \l "_Toc1809" </w:instrText>
      </w:r>
      <w:r>
        <w:fldChar w:fldCharType="separate"/>
      </w:r>
      <w:r>
        <w:rPr>
          <w:rFonts w:hint="eastAsia"/>
        </w:rPr>
        <w:t>四、成果和问题</w:t>
      </w:r>
      <w:r>
        <w:tab/>
      </w:r>
      <w:r>
        <w:fldChar w:fldCharType="begin"/>
      </w:r>
      <w:r>
        <w:instrText xml:space="preserve"> PAGEREF _Toc1809 \h </w:instrText>
      </w:r>
      <w:r>
        <w:fldChar w:fldCharType="separate"/>
      </w:r>
      <w:r>
        <w:t>6</w:t>
      </w:r>
      <w:r>
        <w:fldChar w:fldCharType="end"/>
      </w:r>
      <w:r>
        <w:fldChar w:fldCharType="end"/>
      </w:r>
    </w:p>
    <w:p>
      <w:pPr>
        <w:pStyle w:val="11"/>
        <w:tabs>
          <w:tab w:val="right" w:leader="dot" w:pos="8306"/>
        </w:tabs>
        <w:ind w:left="640"/>
      </w:pPr>
      <w:r>
        <w:fldChar w:fldCharType="begin"/>
      </w:r>
      <w:r>
        <w:instrText xml:space="preserve"> HYPERLINK \l "_Toc30565" </w:instrText>
      </w:r>
      <w:r>
        <w:fldChar w:fldCharType="separate"/>
      </w:r>
      <w:r>
        <w:rPr>
          <w:rFonts w:hint="eastAsia"/>
        </w:rPr>
        <w:t>（一）项目实施的成果</w:t>
      </w:r>
      <w:r>
        <w:tab/>
      </w:r>
      <w:r>
        <w:fldChar w:fldCharType="begin"/>
      </w:r>
      <w:r>
        <w:instrText xml:space="preserve"> PAGEREF _Toc30565 \h </w:instrText>
      </w:r>
      <w:r>
        <w:fldChar w:fldCharType="separate"/>
      </w:r>
      <w:r>
        <w:t>6</w:t>
      </w:r>
      <w:r>
        <w:fldChar w:fldCharType="end"/>
      </w:r>
      <w:r>
        <w:fldChar w:fldCharType="end"/>
      </w:r>
    </w:p>
    <w:p>
      <w:pPr>
        <w:pStyle w:val="11"/>
        <w:tabs>
          <w:tab w:val="right" w:leader="dot" w:pos="8306"/>
        </w:tabs>
        <w:ind w:left="640"/>
      </w:pPr>
      <w:r>
        <w:fldChar w:fldCharType="begin"/>
      </w:r>
      <w:r>
        <w:instrText xml:space="preserve"> HYPERLINK \l "_Toc30691" </w:instrText>
      </w:r>
      <w:r>
        <w:fldChar w:fldCharType="separate"/>
      </w:r>
      <w:r>
        <w:rPr>
          <w:rFonts w:hint="eastAsia"/>
        </w:rPr>
        <w:t>（二）项目存在的问题</w:t>
      </w:r>
      <w:r>
        <w:tab/>
      </w:r>
      <w:r>
        <w:fldChar w:fldCharType="begin"/>
      </w:r>
      <w:r>
        <w:instrText xml:space="preserve"> PAGEREF _Toc30691 \h </w:instrText>
      </w:r>
      <w:r>
        <w:fldChar w:fldCharType="separate"/>
      </w:r>
      <w:r>
        <w:t>6</w:t>
      </w:r>
      <w:r>
        <w:fldChar w:fldCharType="end"/>
      </w:r>
      <w:r>
        <w:fldChar w:fldCharType="end"/>
      </w:r>
    </w:p>
    <w:p>
      <w:pPr>
        <w:pStyle w:val="10"/>
        <w:tabs>
          <w:tab w:val="right" w:leader="dot" w:pos="8306"/>
          <w:tab w:val="clear" w:pos="8296"/>
        </w:tabs>
      </w:pPr>
      <w:r>
        <w:fldChar w:fldCharType="begin"/>
      </w:r>
      <w:r>
        <w:instrText xml:space="preserve"> HYPERLINK \l "_Toc6382" </w:instrText>
      </w:r>
      <w:r>
        <w:fldChar w:fldCharType="separate"/>
      </w:r>
      <w:r>
        <w:rPr>
          <w:rFonts w:hint="eastAsia"/>
        </w:rPr>
        <w:t>五、建议</w:t>
      </w:r>
      <w:r>
        <w:tab/>
      </w:r>
      <w:r>
        <w:fldChar w:fldCharType="begin"/>
      </w:r>
      <w:r>
        <w:instrText xml:space="preserve"> PAGEREF _Toc6382 \h </w:instrText>
      </w:r>
      <w:r>
        <w:fldChar w:fldCharType="separate"/>
      </w:r>
      <w:r>
        <w:t>7</w:t>
      </w:r>
      <w:r>
        <w:fldChar w:fldCharType="end"/>
      </w:r>
      <w:r>
        <w:fldChar w:fldCharType="end"/>
      </w:r>
    </w:p>
    <w:p>
      <w:pPr>
        <w:pStyle w:val="11"/>
        <w:tabs>
          <w:tab w:val="right" w:leader="dot" w:pos="8306"/>
        </w:tabs>
        <w:ind w:left="640"/>
      </w:pPr>
      <w:r>
        <w:fldChar w:fldCharType="begin"/>
      </w:r>
      <w:r>
        <w:instrText xml:space="preserve"> HYPERLINK \l "_Toc18797" </w:instrText>
      </w:r>
      <w:r>
        <w:fldChar w:fldCharType="separate"/>
      </w:r>
      <w:r>
        <w:rPr>
          <w:rFonts w:hint="eastAsia"/>
        </w:rPr>
        <w:t>（一）强化预算绩效管理意识，提升项目产出效益</w:t>
      </w:r>
      <w:r>
        <w:tab/>
      </w:r>
      <w:r>
        <w:fldChar w:fldCharType="begin"/>
      </w:r>
      <w:r>
        <w:instrText xml:space="preserve"> PAGEREF _Toc18797 \h </w:instrText>
      </w:r>
      <w:r>
        <w:fldChar w:fldCharType="separate"/>
      </w:r>
      <w:r>
        <w:t>7</w:t>
      </w:r>
      <w:r>
        <w:fldChar w:fldCharType="end"/>
      </w:r>
      <w:r>
        <w:fldChar w:fldCharType="end"/>
      </w:r>
    </w:p>
    <w:p>
      <w:pPr>
        <w:pStyle w:val="11"/>
        <w:tabs>
          <w:tab w:val="right" w:leader="dot" w:pos="8306"/>
        </w:tabs>
        <w:ind w:left="640"/>
      </w:pPr>
      <w:r>
        <w:fldChar w:fldCharType="begin"/>
      </w:r>
      <w:r>
        <w:instrText xml:space="preserve"> HYPERLINK \l "_Toc19326" </w:instrText>
      </w:r>
      <w:r>
        <w:fldChar w:fldCharType="separate"/>
      </w:r>
      <w:r>
        <w:rPr>
          <w:rFonts w:hint="eastAsia"/>
        </w:rPr>
        <w:t>（二）加强学习培训，进一步提高绩效管理水平</w:t>
      </w:r>
      <w:r>
        <w:tab/>
      </w:r>
      <w:r>
        <w:fldChar w:fldCharType="begin"/>
      </w:r>
      <w:r>
        <w:instrText xml:space="preserve"> PAGEREF _Toc19326 \h </w:instrText>
      </w:r>
      <w:r>
        <w:fldChar w:fldCharType="separate"/>
      </w:r>
      <w:r>
        <w:t>7</w:t>
      </w:r>
      <w:r>
        <w:fldChar w:fldCharType="end"/>
      </w:r>
      <w:r>
        <w:fldChar w:fldCharType="end"/>
      </w:r>
    </w:p>
    <w:p>
      <w:pPr>
        <w:pStyle w:val="10"/>
        <w:tabs>
          <w:tab w:val="right" w:leader="dot" w:pos="8306"/>
          <w:tab w:val="clear" w:pos="8296"/>
        </w:tabs>
      </w:pPr>
      <w:r>
        <w:fldChar w:fldCharType="begin"/>
      </w:r>
      <w:r>
        <w:instrText xml:space="preserve"> HYPERLINK \l "_Toc6061" </w:instrText>
      </w:r>
      <w:r>
        <w:fldChar w:fldCharType="separate"/>
      </w:r>
      <w:r>
        <w:rPr>
          <w:rFonts w:hint="eastAsia"/>
        </w:rPr>
        <w:t>六、其他需要说明的问题</w:t>
      </w:r>
      <w:r>
        <w:tab/>
      </w:r>
      <w:r>
        <w:fldChar w:fldCharType="begin"/>
      </w:r>
      <w:r>
        <w:instrText xml:space="preserve"> PAGEREF _Toc6061 \h </w:instrText>
      </w:r>
      <w:r>
        <w:fldChar w:fldCharType="separate"/>
      </w:r>
      <w:r>
        <w:t>7</w:t>
      </w:r>
      <w:r>
        <w:fldChar w:fldCharType="end"/>
      </w:r>
      <w:r>
        <w:fldChar w:fldCharType="end"/>
      </w:r>
    </w:p>
    <w:p>
      <w:pPr>
        <w:pStyle w:val="10"/>
        <w:tabs>
          <w:tab w:val="right" w:leader="dot" w:pos="8306"/>
          <w:tab w:val="clear" w:pos="8296"/>
        </w:tabs>
      </w:pPr>
      <w:r>
        <w:fldChar w:fldCharType="begin"/>
      </w:r>
      <w:r>
        <w:instrText xml:space="preserve"> HYPERLINK \l "_Toc3394" </w:instrText>
      </w:r>
      <w:r>
        <w:fldChar w:fldCharType="separate"/>
      </w:r>
      <w:r>
        <w:rPr>
          <w:rFonts w:hint="eastAsia"/>
        </w:rPr>
        <w:t>七、附件</w:t>
      </w:r>
      <w:r>
        <w:tab/>
      </w:r>
      <w:r>
        <w:rPr>
          <w:rFonts w:hint="eastAsia"/>
        </w:rPr>
        <w:t>8</w:t>
      </w:r>
      <w:r>
        <w:rPr>
          <w:rFonts w:hint="eastAsia"/>
        </w:rPr>
        <w:fldChar w:fldCharType="end"/>
      </w:r>
    </w:p>
    <w:p>
      <w:pPr>
        <w:pStyle w:val="11"/>
        <w:tabs>
          <w:tab w:val="right" w:leader="dot" w:pos="8306"/>
        </w:tabs>
        <w:ind w:left="640"/>
      </w:pPr>
      <w:r>
        <w:fldChar w:fldCharType="begin"/>
      </w:r>
      <w:r>
        <w:instrText xml:space="preserve"> HYPERLINK \l "_Toc8706" </w:instrText>
      </w:r>
      <w:r>
        <w:fldChar w:fldCharType="separate"/>
      </w:r>
      <w:r>
        <w:rPr>
          <w:rFonts w:hint="eastAsia"/>
        </w:rPr>
        <w:t>附件一：项目绩效自评表</w:t>
      </w:r>
      <w:r>
        <w:tab/>
      </w:r>
      <w:r>
        <w:rPr>
          <w:rFonts w:hint="eastAsia"/>
        </w:rPr>
        <w:t>8</w:t>
      </w:r>
      <w:r>
        <w:rPr>
          <w:rFonts w:hint="eastAsia"/>
        </w:rPr>
        <w:fldChar w:fldCharType="end"/>
      </w:r>
    </w:p>
    <w:p>
      <w:pPr>
        <w:ind w:firstLine="640"/>
        <w:sectPr>
          <w:footerReference r:id="rId11" w:type="default"/>
          <w:pgSz w:w="11906" w:h="16838"/>
          <w:pgMar w:top="1440" w:right="1800" w:bottom="1440" w:left="1800" w:header="851" w:footer="737" w:gutter="0"/>
          <w:pgNumType w:start="1"/>
          <w:cols w:space="425" w:num="1"/>
          <w:docGrid w:type="lines" w:linePitch="312" w:charSpace="0"/>
        </w:sectPr>
      </w:pPr>
      <w:r>
        <w:fldChar w:fldCharType="end"/>
      </w:r>
    </w:p>
    <w:p>
      <w:pPr>
        <w:pStyle w:val="2"/>
      </w:pPr>
      <w:bookmarkStart w:id="1" w:name="_Toc79333430"/>
      <w:bookmarkStart w:id="2" w:name="_Toc11574"/>
      <w:r>
        <w:rPr>
          <w:rFonts w:hint="eastAsia"/>
        </w:rPr>
        <w:t>一、项目基本情况</w:t>
      </w:r>
      <w:bookmarkEnd w:id="0"/>
      <w:bookmarkEnd w:id="1"/>
      <w:bookmarkEnd w:id="2"/>
    </w:p>
    <w:p>
      <w:pPr>
        <w:pStyle w:val="3"/>
      </w:pPr>
      <w:bookmarkStart w:id="3" w:name="_Toc9575"/>
      <w:bookmarkStart w:id="4" w:name="_Toc79333431"/>
      <w:bookmarkStart w:id="5" w:name="_Toc8110"/>
      <w:r>
        <w:rPr>
          <w:rFonts w:hint="eastAsia"/>
        </w:rPr>
        <w:t>（一）项目基本信息</w:t>
      </w:r>
      <w:bookmarkEnd w:id="3"/>
      <w:bookmarkEnd w:id="4"/>
      <w:bookmarkEnd w:id="5"/>
    </w:p>
    <w:p>
      <w:pPr>
        <w:pStyle w:val="4"/>
        <w:ind w:firstLine="643"/>
      </w:pPr>
      <w:bookmarkStart w:id="6" w:name="_Toc79333432"/>
      <w:r>
        <w:rPr>
          <w:rFonts w:hint="eastAsia"/>
        </w:rPr>
        <w:t>1、项目背景</w:t>
      </w:r>
      <w:bookmarkEnd w:id="6"/>
    </w:p>
    <w:p>
      <w:pPr>
        <w:ind w:firstLine="600"/>
        <w:rPr>
          <w:rFonts w:ascii="仿宋_GB2312" w:hAnsi="仿宋_GB2312" w:cs="仿宋_GB2312"/>
          <w:color w:val="000000"/>
        </w:rPr>
      </w:pPr>
      <w:bookmarkStart w:id="7" w:name="_Toc79333433"/>
      <w:r>
        <w:rPr>
          <w:rFonts w:hint="eastAsia" w:cs="宋体"/>
          <w:color w:val="333333"/>
          <w:kern w:val="0"/>
          <w:sz w:val="30"/>
          <w:szCs w:val="30"/>
        </w:rPr>
        <w:t>为落实党中央关于退役士兵专项岗位工作的方针政策和决策部署，保障退役士兵专项岗位的基本工资。体现政府关怀，发挥退役军人事务局应尽职责</w:t>
      </w:r>
      <w:r>
        <w:rPr>
          <w:rFonts w:hint="eastAsia" w:cs="宋体"/>
          <w:color w:val="333333"/>
          <w:kern w:val="0"/>
        </w:rPr>
        <w:t>。</w:t>
      </w:r>
    </w:p>
    <w:p>
      <w:pPr>
        <w:pStyle w:val="4"/>
        <w:ind w:firstLine="643"/>
      </w:pPr>
      <w:r>
        <w:rPr>
          <w:rFonts w:hint="eastAsia"/>
        </w:rPr>
        <w:t>2、项目实施内容</w:t>
      </w:r>
      <w:bookmarkEnd w:id="7"/>
    </w:p>
    <w:p>
      <w:pPr>
        <w:ind w:firstLine="640"/>
        <w:rPr>
          <w:rFonts w:cs="宋体"/>
          <w:color w:val="333333"/>
          <w:kern w:val="0"/>
        </w:rPr>
      </w:pPr>
      <w:bookmarkStart w:id="8" w:name="_Toc17607"/>
      <w:bookmarkStart w:id="9" w:name="_Toc14372"/>
      <w:bookmarkStart w:id="10" w:name="_Toc79333434"/>
      <w:r>
        <w:rPr>
          <w:rFonts w:hint="eastAsia" w:cs="宋体"/>
          <w:color w:val="333333"/>
          <w:kern w:val="0"/>
        </w:rPr>
        <w:t>本次项目实施在主要内容有：对申请专项岗位的退役士兵进行严格审核把关，保障退役士兵专项岗位的基本工资。</w:t>
      </w:r>
    </w:p>
    <w:p>
      <w:pPr>
        <w:pStyle w:val="3"/>
      </w:pPr>
      <w:r>
        <w:rPr>
          <w:rFonts w:hint="eastAsia"/>
        </w:rPr>
        <w:t>（二）项目支出情况</w:t>
      </w:r>
      <w:bookmarkEnd w:id="8"/>
      <w:bookmarkEnd w:id="9"/>
      <w:bookmarkEnd w:id="10"/>
    </w:p>
    <w:p>
      <w:pPr>
        <w:ind w:firstLine="640"/>
      </w:pPr>
      <w:r>
        <w:rPr>
          <w:rFonts w:hint="eastAsia"/>
        </w:rPr>
        <w:t>项目于2</w:t>
      </w:r>
      <w:r>
        <w:t>02</w:t>
      </w:r>
      <w:r>
        <w:rPr>
          <w:rFonts w:hint="eastAsia"/>
        </w:rPr>
        <w:t>1年共申请财政资金2</w:t>
      </w:r>
      <w:r>
        <w:rPr>
          <w:rFonts w:hint="eastAsia"/>
          <w:lang w:val="en-US" w:eastAsia="zh-CN"/>
        </w:rPr>
        <w:t>123.88</w:t>
      </w:r>
      <w:r>
        <w:rPr>
          <w:rFonts w:hint="eastAsia"/>
        </w:rPr>
        <w:t>万元，当年实际执行2</w:t>
      </w:r>
      <w:r>
        <w:rPr>
          <w:rFonts w:hint="eastAsia"/>
          <w:lang w:val="en-US" w:eastAsia="zh-CN"/>
        </w:rPr>
        <w:t>123.8</w:t>
      </w:r>
      <w:r>
        <w:rPr>
          <w:rFonts w:hint="eastAsia"/>
        </w:rPr>
        <w:t>8万元。</w:t>
      </w:r>
    </w:p>
    <w:p>
      <w:pPr>
        <w:pStyle w:val="2"/>
      </w:pPr>
      <w:bookmarkStart w:id="11" w:name="_Toc79333437"/>
      <w:bookmarkStart w:id="12" w:name="_Toc10420"/>
      <w:bookmarkStart w:id="13" w:name="_Toc75871361"/>
      <w:bookmarkStart w:id="14" w:name="_Toc1209"/>
      <w:r>
        <w:rPr>
          <w:rFonts w:hint="eastAsia"/>
        </w:rPr>
        <w:t>二、绩效自评工作开展情况</w:t>
      </w:r>
      <w:bookmarkEnd w:id="11"/>
      <w:bookmarkEnd w:id="12"/>
      <w:bookmarkEnd w:id="13"/>
      <w:bookmarkEnd w:id="14"/>
    </w:p>
    <w:p>
      <w:pPr>
        <w:pStyle w:val="3"/>
      </w:pPr>
      <w:bookmarkStart w:id="15" w:name="_Toc75871362"/>
      <w:bookmarkStart w:id="16" w:name="_Toc79333438"/>
      <w:bookmarkStart w:id="17" w:name="_Toc2270"/>
      <w:r>
        <w:rPr>
          <w:rFonts w:hint="eastAsia"/>
        </w:rPr>
        <w:t>（一）绩效自评价目的和意义</w:t>
      </w:r>
      <w:bookmarkEnd w:id="15"/>
      <w:bookmarkEnd w:id="16"/>
      <w:bookmarkEnd w:id="17"/>
    </w:p>
    <w:p>
      <w:pPr>
        <w:ind w:firstLine="640"/>
      </w:pPr>
      <w:r>
        <w:rPr>
          <w:rFonts w:hint="eastAsia"/>
        </w:rPr>
        <w:t>预算支出绩效自评价是预算单位运用科学、规范的评价方法，对照统一的评价标准，对预算支出的效率和效益进行的自我衡量和综合评价。</w:t>
      </w:r>
    </w:p>
    <w:p>
      <w:pPr>
        <w:ind w:firstLine="640"/>
      </w:pPr>
      <w:r>
        <w:rPr>
          <w:rFonts w:hint="eastAsia"/>
        </w:rPr>
        <w:t>预算支出绩效自评价的目的是：通过对绩效目标的综合考评，合理配置资源，优化支出结构，规范预算资金分配，提高财政资源配置效率和使用效益。</w:t>
      </w:r>
    </w:p>
    <w:p>
      <w:pPr>
        <w:ind w:firstLine="640"/>
      </w:pPr>
      <w:r>
        <w:rPr>
          <w:rFonts w:hint="eastAsia"/>
        </w:rPr>
        <w:t>推进预算支出绩效自评价的意义是：加强部门及项目预算管理，有利于建设高效透明政府，有利于深化政府管理体制改革。从政府部门管理层面来看，可促进预算单位预算管理的科学性和合理性；从财政部门资金监管层面来看，可深入了解资金投向的明确性和准确性，提高资金使用效率；从项目实施单位来看，可以进一步规范资金使用，提升项目实施效果。</w:t>
      </w:r>
    </w:p>
    <w:p>
      <w:pPr>
        <w:pStyle w:val="3"/>
      </w:pPr>
      <w:bookmarkStart w:id="18" w:name="_Toc5617"/>
      <w:bookmarkStart w:id="19" w:name="_Toc3060"/>
      <w:bookmarkStart w:id="20" w:name="_Toc75871363"/>
      <w:bookmarkStart w:id="21" w:name="_Toc79333439"/>
      <w:r>
        <w:rPr>
          <w:rFonts w:hint="eastAsia"/>
        </w:rPr>
        <w:t>（二）绩效自评价对象和范围</w:t>
      </w:r>
      <w:bookmarkEnd w:id="18"/>
      <w:bookmarkEnd w:id="19"/>
      <w:bookmarkEnd w:id="20"/>
      <w:bookmarkEnd w:id="21"/>
    </w:p>
    <w:p>
      <w:pPr>
        <w:ind w:firstLine="640"/>
      </w:pPr>
      <w:r>
        <w:rPr>
          <w:rFonts w:hint="eastAsia"/>
        </w:rPr>
        <w:t>本次绩效自评价对象为退役士兵公益岗工资开支情况，评价范围为涉及该项目管理及其预算资金2</w:t>
      </w:r>
      <w:r>
        <w:rPr>
          <w:rFonts w:hint="eastAsia"/>
          <w:lang w:val="en-US" w:eastAsia="zh-CN"/>
        </w:rPr>
        <w:t>123.88</w:t>
      </w:r>
      <w:r>
        <w:rPr>
          <w:rFonts w:hint="eastAsia"/>
        </w:rPr>
        <w:t>万元的使用情况。</w:t>
      </w:r>
    </w:p>
    <w:p>
      <w:pPr>
        <w:pStyle w:val="3"/>
      </w:pPr>
      <w:bookmarkStart w:id="22" w:name="_Toc75871364"/>
      <w:bookmarkStart w:id="23" w:name="_Toc8160"/>
      <w:bookmarkStart w:id="24" w:name="_Toc79333440"/>
      <w:bookmarkStart w:id="25" w:name="_Toc12774"/>
      <w:r>
        <w:rPr>
          <w:rFonts w:hint="eastAsia"/>
        </w:rPr>
        <w:t>（三）绩效评价的依据</w:t>
      </w:r>
      <w:bookmarkEnd w:id="22"/>
      <w:bookmarkEnd w:id="23"/>
      <w:bookmarkEnd w:id="24"/>
      <w:bookmarkEnd w:id="25"/>
    </w:p>
    <w:p>
      <w:pPr>
        <w:numPr>
          <w:ilvl w:val="0"/>
          <w:numId w:val="1"/>
        </w:numPr>
        <w:ind w:firstLine="640"/>
      </w:pPr>
      <w:r>
        <w:rPr>
          <w:rFonts w:hint="eastAsia"/>
        </w:rPr>
        <w:t>中共中央、国务院《关于全面实施预算绩效管理的意见》（中发〔2018〕34号）；</w:t>
      </w:r>
    </w:p>
    <w:p>
      <w:pPr>
        <w:numPr>
          <w:ilvl w:val="0"/>
          <w:numId w:val="1"/>
        </w:numPr>
        <w:ind w:firstLine="640"/>
      </w:pPr>
      <w:r>
        <w:rPr>
          <w:rFonts w:hint="eastAsia"/>
        </w:rPr>
        <w:t>《项目支出绩效评价管理办法》（财预〔2020〕10号）；</w:t>
      </w:r>
    </w:p>
    <w:p>
      <w:pPr>
        <w:numPr>
          <w:ilvl w:val="0"/>
          <w:numId w:val="1"/>
        </w:numPr>
        <w:ind w:firstLine="640"/>
      </w:pPr>
      <w:r>
        <w:rPr>
          <w:rFonts w:hint="eastAsia"/>
        </w:rPr>
        <w:t>《预算绩效评价共性指标体系框架》（财预〔2013〕53号）；</w:t>
      </w:r>
    </w:p>
    <w:p>
      <w:pPr>
        <w:numPr>
          <w:ilvl w:val="0"/>
          <w:numId w:val="1"/>
        </w:numPr>
        <w:ind w:firstLine="640"/>
      </w:pPr>
      <w:r>
        <w:rPr>
          <w:rFonts w:hint="eastAsia"/>
        </w:rPr>
        <w:t>《中共河南省委 河南省人民政府关于全面实施预算绩效管理的实施意见》（豫发〔2019〕10号）；</w:t>
      </w:r>
    </w:p>
    <w:p>
      <w:pPr>
        <w:numPr>
          <w:ilvl w:val="0"/>
          <w:numId w:val="1"/>
        </w:numPr>
        <w:ind w:firstLine="640"/>
      </w:pPr>
      <w:r>
        <w:rPr>
          <w:rFonts w:hint="eastAsia"/>
        </w:rPr>
        <w:t>河南省财政厅关于印发《河南省省级预算项目支出绩效评价管理办法》的通知（豫财效〔2020〕10号）；</w:t>
      </w:r>
    </w:p>
    <w:p>
      <w:pPr>
        <w:numPr>
          <w:ilvl w:val="0"/>
          <w:numId w:val="1"/>
        </w:numPr>
        <w:ind w:firstLine="640"/>
      </w:pPr>
      <w:r>
        <w:rPr>
          <w:rFonts w:hint="eastAsia"/>
        </w:rPr>
        <w:t>与本次自评相关的其他资料。</w:t>
      </w:r>
    </w:p>
    <w:p>
      <w:pPr>
        <w:pStyle w:val="3"/>
      </w:pPr>
      <w:bookmarkStart w:id="26" w:name="_Toc9578"/>
      <w:bookmarkStart w:id="27" w:name="_Toc13521"/>
      <w:bookmarkStart w:id="28" w:name="_Toc75871365"/>
      <w:bookmarkStart w:id="29" w:name="_Toc79333441"/>
      <w:r>
        <w:rPr>
          <w:rFonts w:hint="eastAsia"/>
        </w:rPr>
        <w:t>（四）评分方法</w:t>
      </w:r>
      <w:bookmarkEnd w:id="26"/>
      <w:bookmarkEnd w:id="27"/>
      <w:bookmarkEnd w:id="28"/>
      <w:bookmarkEnd w:id="29"/>
    </w:p>
    <w:p>
      <w:pPr>
        <w:ind w:firstLine="640"/>
      </w:pPr>
      <w:bookmarkStart w:id="30" w:name="_Toc27533"/>
      <w:r>
        <w:rPr>
          <w:rFonts w:hint="eastAsia"/>
        </w:rPr>
        <w:t>根据财政部《项目支出绩效评价管理办法》（财预〔2020〕10号）第十六条的相关要求：</w:t>
      </w:r>
    </w:p>
    <w:p>
      <w:pPr>
        <w:ind w:firstLine="640"/>
      </w:pPr>
      <w:r>
        <w:rPr>
          <w:rFonts w:hint="eastAsia"/>
        </w:rPr>
        <w:t>单位自评采用定量与定性评价相结合的比较法，总分由各项指标得分汇总形成。</w:t>
      </w:r>
    </w:p>
    <w:p>
      <w:pPr>
        <w:ind w:firstLine="640"/>
      </w:pPr>
      <w:r>
        <w:rPr>
          <w:rFonts w:hint="eastAsia"/>
        </w:rPr>
        <w:t>定量指标得分按照以下方法评定：与年初指标值相比，完成指标值的，计该指标所赋全部分值；对完成值高于指标值较多的，要分析原因，如果是由于年初指标值设定明显偏低造成的，要按照偏离度适度调减分值；未完成指标值的，按照完成值与指标值的比例计分。</w:t>
      </w:r>
    </w:p>
    <w:p>
      <w:pPr>
        <w:ind w:firstLine="640"/>
      </w:pPr>
      <w:r>
        <w:rPr>
          <w:rFonts w:hint="eastAsia"/>
        </w:rPr>
        <w:t>定性指标得分按照以下方法评定：根据指标完成情况分为达成年度指标、部分达成年度指标并具有一定效果、未达成年度指标且效果较差三档，分别按照该指标对应分值区间100%—80%（含）、80%—60%（含）、60%—0%合理确定分值。</w:t>
      </w:r>
    </w:p>
    <w:p>
      <w:pPr>
        <w:ind w:firstLine="640"/>
      </w:pPr>
      <w:r>
        <w:t>评分表满分为100分，</w:t>
      </w:r>
      <w:r>
        <w:rPr>
          <w:rFonts w:hint="eastAsia"/>
        </w:rPr>
        <w:t>一</w:t>
      </w:r>
      <w:r>
        <w:t>级指标分值统一设置为：预算执行率10分、产出指标50分、效益指标30分、服务对象满意指标10分。各部门可根据指标的重要程度自主确定各项三级指标的权重分值各项指标得分加总得出自评的总分。</w:t>
      </w:r>
    </w:p>
    <w:p>
      <w:pPr>
        <w:ind w:firstLine="640"/>
      </w:pPr>
      <w:r>
        <w:rPr>
          <w:rFonts w:hint="eastAsia"/>
        </w:rPr>
        <w:t>综合各级政府绩效评价相关政策，按照政策相关要求，根据指标的重要程度确定各项三级指标的权重分值。</w:t>
      </w:r>
    </w:p>
    <w:p>
      <w:pPr>
        <w:pStyle w:val="3"/>
      </w:pPr>
      <w:bookmarkStart w:id="31" w:name="_Toc489"/>
      <w:bookmarkStart w:id="32" w:name="_Toc75871366"/>
      <w:bookmarkStart w:id="33" w:name="_Toc79333442"/>
      <w:r>
        <w:rPr>
          <w:rFonts w:hint="eastAsia"/>
        </w:rPr>
        <w:t>（五）绩效自评工作组织</w:t>
      </w:r>
      <w:bookmarkEnd w:id="30"/>
      <w:bookmarkEnd w:id="31"/>
      <w:bookmarkEnd w:id="32"/>
      <w:bookmarkEnd w:id="33"/>
    </w:p>
    <w:p>
      <w:pPr>
        <w:ind w:firstLine="640"/>
      </w:pPr>
      <w:r>
        <w:rPr>
          <w:rFonts w:hint="eastAsia"/>
        </w:rPr>
        <w:t>我单位依据自评价相关要求，成立项目自评领导小组，下设自评工作组，由工作组根据具体项目指定专人配合进行自评。</w:t>
      </w:r>
    </w:p>
    <w:p>
      <w:pPr>
        <w:ind w:firstLine="640"/>
      </w:pPr>
      <w:r>
        <w:rPr>
          <w:rFonts w:hint="eastAsia"/>
        </w:rPr>
        <w:t>工作组主要工作内容有：</w:t>
      </w:r>
    </w:p>
    <w:p>
      <w:pPr>
        <w:ind w:firstLine="640"/>
      </w:pPr>
      <w:r>
        <w:rPr>
          <w:rFonts w:hint="eastAsia"/>
        </w:rPr>
        <w:t>1、召开自评价专门会议，进行自评价工作的统一部署并组织项目相关成员进行必要的政策法规学习；</w:t>
      </w:r>
    </w:p>
    <w:p>
      <w:pPr>
        <w:ind w:firstLine="640"/>
      </w:pPr>
      <w:r>
        <w:rPr>
          <w:rFonts w:hint="eastAsia"/>
        </w:rPr>
        <w:t>2、组织有效的调查研究、项目座谈、查阅相关资料；</w:t>
      </w:r>
    </w:p>
    <w:p>
      <w:pPr>
        <w:ind w:firstLine="640"/>
      </w:pPr>
      <w:r>
        <w:rPr>
          <w:rFonts w:hint="eastAsia"/>
        </w:rPr>
        <w:t>3、根据获取的资料，依照《项目支出绩效自评表》进行合理打分；</w:t>
      </w:r>
    </w:p>
    <w:p>
      <w:pPr>
        <w:ind w:firstLine="640"/>
      </w:pPr>
      <w:r>
        <w:rPr>
          <w:rFonts w:hint="eastAsia"/>
        </w:rPr>
        <w:t>4、综合上述工作成果，撰写项目自评价报告；</w:t>
      </w:r>
    </w:p>
    <w:p>
      <w:pPr>
        <w:ind w:firstLine="640"/>
      </w:pPr>
      <w:r>
        <w:rPr>
          <w:rFonts w:hint="eastAsia"/>
        </w:rPr>
        <w:t>5、完成项目绩效评价相关政策所要求的其他事项。</w:t>
      </w:r>
    </w:p>
    <w:p>
      <w:pPr>
        <w:pStyle w:val="2"/>
      </w:pPr>
      <w:bookmarkStart w:id="34" w:name="_Toc24506"/>
      <w:bookmarkStart w:id="35" w:name="_Toc79333443"/>
      <w:r>
        <w:rPr>
          <w:rFonts w:hint="eastAsia"/>
        </w:rPr>
        <w:t>三、绩效自评结果及分析</w:t>
      </w:r>
      <w:bookmarkEnd w:id="34"/>
      <w:bookmarkEnd w:id="35"/>
    </w:p>
    <w:p>
      <w:pPr>
        <w:pStyle w:val="3"/>
      </w:pPr>
      <w:bookmarkStart w:id="36" w:name="_Toc79333444"/>
      <w:bookmarkStart w:id="37" w:name="_Toc25356"/>
      <w:bookmarkStart w:id="38" w:name="_Toc4028"/>
      <w:r>
        <w:t>（一）绩效自评价结果</w:t>
      </w:r>
      <w:bookmarkEnd w:id="36"/>
      <w:bookmarkEnd w:id="37"/>
      <w:bookmarkEnd w:id="38"/>
    </w:p>
    <w:p>
      <w:pPr>
        <w:ind w:firstLine="640"/>
      </w:pPr>
      <w:r>
        <w:rPr>
          <w:rFonts w:hint="eastAsia"/>
        </w:rPr>
        <w:t>根据自评相关规定，绩效评价结果实行百分制和四级分类，分别是：90-100分为优、80-89分为良、60-79分为中、0-59分为差。</w:t>
      </w:r>
    </w:p>
    <w:p>
      <w:pPr>
        <w:ind w:firstLine="640"/>
      </w:pPr>
      <w:r>
        <w:rPr>
          <w:rFonts w:hint="eastAsia"/>
        </w:rPr>
        <w:t>我单位通过对本项目调查研究、座谈、查阅相关资料，根据相关政策要求进行打分，最终项目自评价得分为9</w:t>
      </w:r>
      <w:r>
        <w:t>8</w:t>
      </w:r>
      <w:r>
        <w:rPr>
          <w:rFonts w:hint="eastAsia"/>
        </w:rPr>
        <w:t>分，评价结果为“优”。各项指标具体得分情况如下表</w:t>
      </w:r>
      <w:r>
        <w:t>3</w:t>
      </w:r>
      <w:r>
        <w:rPr>
          <w:rFonts w:hint="eastAsia"/>
        </w:rPr>
        <w:t>.1所示</w:t>
      </w:r>
    </w:p>
    <w:p>
      <w:pPr>
        <w:pStyle w:val="17"/>
        <w:ind w:firstLine="643"/>
      </w:pPr>
      <w:r>
        <w:rPr>
          <w:rFonts w:hint="eastAsia"/>
        </w:rPr>
        <w:t>表3.1 绩效自评价得分表</w:t>
      </w:r>
    </w:p>
    <w:tbl>
      <w:tblPr>
        <w:tblStyle w:val="13"/>
        <w:tblW w:w="4954" w:type="pct"/>
        <w:jc w:val="center"/>
        <w:tblLayout w:type="fixed"/>
        <w:tblCellMar>
          <w:top w:w="0" w:type="dxa"/>
          <w:left w:w="108" w:type="dxa"/>
          <w:bottom w:w="0" w:type="dxa"/>
          <w:right w:w="108" w:type="dxa"/>
        </w:tblCellMar>
      </w:tblPr>
      <w:tblGrid>
        <w:gridCol w:w="1305"/>
        <w:gridCol w:w="1603"/>
        <w:gridCol w:w="2724"/>
        <w:gridCol w:w="1439"/>
        <w:gridCol w:w="1373"/>
      </w:tblGrid>
      <w:tr>
        <w:tblPrEx>
          <w:tblCellMar>
            <w:top w:w="0" w:type="dxa"/>
            <w:left w:w="108" w:type="dxa"/>
            <w:bottom w:w="0" w:type="dxa"/>
            <w:right w:w="108" w:type="dxa"/>
          </w:tblCellMar>
        </w:tblPrEx>
        <w:trPr>
          <w:trHeight w:val="567" w:hRule="atLeast"/>
          <w:jc w:val="center"/>
        </w:trPr>
        <w:tc>
          <w:tcPr>
            <w:tcW w:w="773" w:type="pc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pStyle w:val="16"/>
            </w:pPr>
            <w:r>
              <w:rPr>
                <w:rFonts w:hint="eastAsia"/>
              </w:rPr>
              <w:t>一级指标</w:t>
            </w:r>
          </w:p>
        </w:tc>
        <w:tc>
          <w:tcPr>
            <w:tcW w:w="949"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pPr>
            <w:r>
              <w:rPr>
                <w:rFonts w:hint="eastAsia"/>
              </w:rPr>
              <w:t>二级指标</w:t>
            </w:r>
          </w:p>
        </w:tc>
        <w:tc>
          <w:tcPr>
            <w:tcW w:w="1613"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pPr>
            <w:r>
              <w:rPr>
                <w:rFonts w:hint="eastAsia"/>
              </w:rPr>
              <w:t>三级指标</w:t>
            </w:r>
          </w:p>
        </w:tc>
        <w:tc>
          <w:tcPr>
            <w:tcW w:w="852"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pPr>
            <w:r>
              <w:rPr>
                <w:rFonts w:hint="eastAsia"/>
              </w:rPr>
              <w:t>标准分值</w:t>
            </w:r>
          </w:p>
        </w:tc>
        <w:tc>
          <w:tcPr>
            <w:tcW w:w="813"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pPr>
            <w:r>
              <w:rPr>
                <w:rFonts w:hint="eastAsia"/>
              </w:rPr>
              <w:t>实际得分</w:t>
            </w:r>
          </w:p>
        </w:tc>
      </w:tr>
      <w:tr>
        <w:tblPrEx>
          <w:tblCellMar>
            <w:top w:w="0" w:type="dxa"/>
            <w:left w:w="108" w:type="dxa"/>
            <w:bottom w:w="0" w:type="dxa"/>
            <w:right w:w="108" w:type="dxa"/>
          </w:tblCellMar>
        </w:tblPrEx>
        <w:trPr>
          <w:trHeight w:val="567" w:hRule="atLeast"/>
          <w:jc w:val="center"/>
        </w:trPr>
        <w:tc>
          <w:tcPr>
            <w:tcW w:w="773"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6"/>
            </w:pPr>
            <w:r>
              <w:rPr>
                <w:rFonts w:hint="eastAsia"/>
              </w:rPr>
              <w:t>预算执行</w:t>
            </w:r>
          </w:p>
        </w:tc>
        <w:tc>
          <w:tcPr>
            <w:tcW w:w="949" w:type="pct"/>
            <w:tcBorders>
              <w:top w:val="single" w:color="auto" w:sz="4" w:space="0"/>
              <w:left w:val="nil"/>
              <w:bottom w:val="single" w:color="auto" w:sz="4" w:space="0"/>
              <w:right w:val="single" w:color="auto" w:sz="4" w:space="0"/>
            </w:tcBorders>
            <w:shd w:val="clear" w:color="auto" w:fill="auto"/>
            <w:vAlign w:val="center"/>
          </w:tcPr>
          <w:p>
            <w:pPr>
              <w:pStyle w:val="16"/>
            </w:pPr>
            <w:r>
              <w:rPr>
                <w:rFonts w:hint="eastAsia"/>
              </w:rPr>
              <w:t>预算执行率</w:t>
            </w:r>
          </w:p>
        </w:tc>
        <w:tc>
          <w:tcPr>
            <w:tcW w:w="1613" w:type="pct"/>
            <w:tcBorders>
              <w:top w:val="single" w:color="auto" w:sz="4" w:space="0"/>
              <w:left w:val="nil"/>
              <w:bottom w:val="single" w:color="auto" w:sz="4" w:space="0"/>
              <w:right w:val="single" w:color="auto" w:sz="4" w:space="0"/>
            </w:tcBorders>
            <w:shd w:val="clear" w:color="auto" w:fill="auto"/>
            <w:vAlign w:val="center"/>
          </w:tcPr>
          <w:p>
            <w:pPr>
              <w:pStyle w:val="16"/>
            </w:pPr>
            <w:r>
              <w:rPr>
                <w:rFonts w:hint="eastAsia"/>
              </w:rPr>
              <w:t>预算执行率</w:t>
            </w:r>
          </w:p>
        </w:tc>
        <w:tc>
          <w:tcPr>
            <w:tcW w:w="852" w:type="pct"/>
            <w:tcBorders>
              <w:top w:val="single" w:color="auto" w:sz="4" w:space="0"/>
              <w:left w:val="nil"/>
              <w:bottom w:val="single" w:color="auto" w:sz="4" w:space="0"/>
              <w:right w:val="single" w:color="auto" w:sz="4" w:space="0"/>
            </w:tcBorders>
            <w:shd w:val="clear" w:color="auto" w:fill="auto"/>
            <w:vAlign w:val="center"/>
          </w:tcPr>
          <w:p>
            <w:pPr>
              <w:pStyle w:val="16"/>
            </w:pPr>
            <w:r>
              <w:rPr>
                <w:rFonts w:hint="eastAsia"/>
              </w:rPr>
              <w:t>10</w:t>
            </w:r>
          </w:p>
        </w:tc>
        <w:tc>
          <w:tcPr>
            <w:tcW w:w="813" w:type="pct"/>
            <w:tcBorders>
              <w:top w:val="single" w:color="auto" w:sz="4" w:space="0"/>
              <w:left w:val="nil"/>
              <w:bottom w:val="single" w:color="auto" w:sz="4" w:space="0"/>
              <w:right w:val="single" w:color="auto" w:sz="4" w:space="0"/>
            </w:tcBorders>
            <w:shd w:val="clear" w:color="auto" w:fill="auto"/>
            <w:vAlign w:val="center"/>
          </w:tcPr>
          <w:p>
            <w:pPr>
              <w:pStyle w:val="16"/>
            </w:pPr>
            <w:r>
              <w:rPr>
                <w:rFonts w:hint="eastAsia"/>
              </w:rPr>
              <w:t>10</w:t>
            </w:r>
          </w:p>
        </w:tc>
      </w:tr>
      <w:tr>
        <w:tblPrEx>
          <w:tblCellMar>
            <w:top w:w="0" w:type="dxa"/>
            <w:left w:w="108" w:type="dxa"/>
            <w:bottom w:w="0" w:type="dxa"/>
            <w:right w:w="108" w:type="dxa"/>
          </w:tblCellMar>
        </w:tblPrEx>
        <w:trPr>
          <w:trHeight w:val="567" w:hRule="atLeast"/>
          <w:jc w:val="center"/>
        </w:trPr>
        <w:tc>
          <w:tcPr>
            <w:tcW w:w="773" w:type="pct"/>
            <w:vMerge w:val="restart"/>
            <w:tcBorders>
              <w:top w:val="single" w:color="auto" w:sz="4" w:space="0"/>
              <w:left w:val="single" w:color="auto" w:sz="4" w:space="0"/>
              <w:bottom w:val="single" w:color="auto" w:sz="4" w:space="0"/>
              <w:right w:val="single" w:color="auto" w:sz="4" w:space="0"/>
            </w:tcBorders>
            <w:vAlign w:val="center"/>
          </w:tcPr>
          <w:p>
            <w:pPr>
              <w:pStyle w:val="16"/>
            </w:pPr>
            <w:r>
              <w:rPr>
                <w:rFonts w:hint="eastAsia"/>
              </w:rPr>
              <w:t>产出指标</w:t>
            </w:r>
          </w:p>
        </w:tc>
        <w:tc>
          <w:tcPr>
            <w:tcW w:w="949" w:type="pct"/>
            <w:vMerge w:val="restart"/>
            <w:tcBorders>
              <w:top w:val="nil"/>
              <w:left w:val="single" w:color="auto" w:sz="4" w:space="0"/>
              <w:right w:val="single" w:color="auto" w:sz="4" w:space="0"/>
            </w:tcBorders>
            <w:shd w:val="clear" w:color="auto" w:fill="auto"/>
            <w:vAlign w:val="center"/>
          </w:tcPr>
          <w:p>
            <w:pPr>
              <w:pStyle w:val="16"/>
            </w:pPr>
            <w:r>
              <w:rPr>
                <w:rFonts w:hint="eastAsia"/>
              </w:rPr>
              <w:t>数量指标</w:t>
            </w:r>
          </w:p>
        </w:tc>
        <w:tc>
          <w:tcPr>
            <w:tcW w:w="1613" w:type="pct"/>
            <w:tcBorders>
              <w:top w:val="nil"/>
              <w:left w:val="nil"/>
              <w:bottom w:val="single" w:color="auto" w:sz="4" w:space="0"/>
              <w:right w:val="single" w:color="auto" w:sz="4" w:space="0"/>
            </w:tcBorders>
            <w:shd w:val="clear" w:color="auto" w:fill="auto"/>
            <w:vAlign w:val="center"/>
          </w:tcPr>
          <w:p>
            <w:pPr>
              <w:pStyle w:val="16"/>
            </w:pPr>
            <w:r>
              <w:rPr>
                <w:rFonts w:hint="eastAsia"/>
              </w:rPr>
              <w:t>预计专项岗位人数</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t>15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t>15</w:t>
            </w:r>
          </w:p>
        </w:tc>
      </w:tr>
      <w:tr>
        <w:tblPrEx>
          <w:tblCellMar>
            <w:top w:w="0" w:type="dxa"/>
            <w:left w:w="108" w:type="dxa"/>
            <w:bottom w:w="0" w:type="dxa"/>
            <w:right w:w="108" w:type="dxa"/>
          </w:tblCellMar>
        </w:tblPrEx>
        <w:trPr>
          <w:trHeight w:val="567" w:hRule="atLeast"/>
          <w:jc w:val="center"/>
        </w:trPr>
        <w:tc>
          <w:tcPr>
            <w:tcW w:w="773" w:type="pct"/>
            <w:vMerge w:val="continue"/>
            <w:tcBorders>
              <w:left w:val="single" w:color="auto" w:sz="4" w:space="0"/>
              <w:bottom w:val="single" w:color="auto" w:sz="4" w:space="0"/>
              <w:right w:val="single" w:color="auto" w:sz="4" w:space="0"/>
            </w:tcBorders>
            <w:vAlign w:val="center"/>
          </w:tcPr>
          <w:p>
            <w:pPr>
              <w:pStyle w:val="16"/>
            </w:pPr>
          </w:p>
        </w:tc>
        <w:tc>
          <w:tcPr>
            <w:tcW w:w="949" w:type="pct"/>
            <w:vMerge w:val="continue"/>
            <w:tcBorders>
              <w:left w:val="single" w:color="auto" w:sz="4" w:space="0"/>
              <w:right w:val="single" w:color="auto" w:sz="4" w:space="0"/>
            </w:tcBorders>
            <w:vAlign w:val="center"/>
          </w:tcPr>
          <w:p>
            <w:pPr>
              <w:pStyle w:val="16"/>
            </w:pPr>
          </w:p>
        </w:tc>
        <w:tc>
          <w:tcPr>
            <w:tcW w:w="1613" w:type="pct"/>
            <w:tcBorders>
              <w:top w:val="nil"/>
              <w:left w:val="nil"/>
              <w:bottom w:val="single" w:color="auto" w:sz="4" w:space="0"/>
              <w:right w:val="single" w:color="auto" w:sz="4" w:space="0"/>
            </w:tcBorders>
            <w:shd w:val="clear" w:color="auto" w:fill="auto"/>
            <w:vAlign w:val="center"/>
          </w:tcPr>
          <w:p>
            <w:pPr>
              <w:pStyle w:val="16"/>
            </w:pPr>
            <w:r>
              <w:rPr>
                <w:rFonts w:hint="eastAsia"/>
              </w:rPr>
              <w:t>保障月数</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t>15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t>15</w:t>
            </w:r>
          </w:p>
        </w:tc>
      </w:tr>
      <w:tr>
        <w:tblPrEx>
          <w:tblCellMar>
            <w:top w:w="0" w:type="dxa"/>
            <w:left w:w="108" w:type="dxa"/>
            <w:bottom w:w="0" w:type="dxa"/>
            <w:right w:w="108" w:type="dxa"/>
          </w:tblCellMar>
        </w:tblPrEx>
        <w:trPr>
          <w:trHeight w:val="567" w:hRule="atLeast"/>
          <w:jc w:val="center"/>
        </w:trPr>
        <w:tc>
          <w:tcPr>
            <w:tcW w:w="773" w:type="pct"/>
            <w:vMerge w:val="continue"/>
            <w:tcBorders>
              <w:left w:val="single" w:color="auto" w:sz="4" w:space="0"/>
              <w:bottom w:val="single" w:color="auto" w:sz="4" w:space="0"/>
              <w:right w:val="single" w:color="auto" w:sz="4" w:space="0"/>
            </w:tcBorders>
            <w:vAlign w:val="center"/>
          </w:tcPr>
          <w:p>
            <w:pPr>
              <w:pStyle w:val="16"/>
            </w:pPr>
          </w:p>
        </w:tc>
        <w:tc>
          <w:tcPr>
            <w:tcW w:w="949" w:type="pct"/>
            <w:tcBorders>
              <w:top w:val="single" w:color="auto" w:sz="4" w:space="0"/>
              <w:left w:val="single" w:color="auto" w:sz="4" w:space="0"/>
              <w:right w:val="single" w:color="auto" w:sz="4" w:space="0"/>
            </w:tcBorders>
            <w:vAlign w:val="center"/>
          </w:tcPr>
          <w:p>
            <w:pPr>
              <w:pStyle w:val="16"/>
            </w:pPr>
            <w:r>
              <w:rPr>
                <w:rFonts w:hint="eastAsia"/>
              </w:rPr>
              <w:t>质量指标</w:t>
            </w:r>
          </w:p>
        </w:tc>
        <w:tc>
          <w:tcPr>
            <w:tcW w:w="1613" w:type="pct"/>
            <w:tcBorders>
              <w:top w:val="nil"/>
              <w:left w:val="nil"/>
              <w:bottom w:val="single" w:color="auto" w:sz="4" w:space="0"/>
              <w:right w:val="single" w:color="auto" w:sz="4" w:space="0"/>
            </w:tcBorders>
            <w:shd w:val="clear" w:color="auto" w:fill="auto"/>
            <w:vAlign w:val="center"/>
          </w:tcPr>
          <w:p>
            <w:pPr>
              <w:pStyle w:val="16"/>
            </w:pPr>
            <w:r>
              <w:rPr>
                <w:rFonts w:hint="eastAsia"/>
              </w:rPr>
              <w:t>工资发放足额率</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rPr>
                <w:rFonts w:hint="eastAsia"/>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rPr>
                <w:rFonts w:hint="eastAsia"/>
              </w:rPr>
              <w:t>10</w:t>
            </w:r>
          </w:p>
        </w:tc>
      </w:tr>
      <w:tr>
        <w:tblPrEx>
          <w:tblCellMar>
            <w:top w:w="0" w:type="dxa"/>
            <w:left w:w="108" w:type="dxa"/>
            <w:bottom w:w="0" w:type="dxa"/>
            <w:right w:w="108" w:type="dxa"/>
          </w:tblCellMar>
        </w:tblPrEx>
        <w:trPr>
          <w:trHeight w:val="567" w:hRule="atLeast"/>
          <w:jc w:val="center"/>
        </w:trPr>
        <w:tc>
          <w:tcPr>
            <w:tcW w:w="773" w:type="pct"/>
            <w:vMerge w:val="continue"/>
            <w:tcBorders>
              <w:left w:val="single" w:color="auto" w:sz="4" w:space="0"/>
              <w:bottom w:val="single" w:color="auto" w:sz="4" w:space="0"/>
              <w:right w:val="single" w:color="auto" w:sz="4" w:space="0"/>
            </w:tcBorders>
            <w:vAlign w:val="center"/>
          </w:tcPr>
          <w:p>
            <w:pPr>
              <w:pStyle w:val="16"/>
            </w:pPr>
          </w:p>
        </w:tc>
        <w:tc>
          <w:tcPr>
            <w:tcW w:w="949" w:type="pct"/>
            <w:tcBorders>
              <w:top w:val="single" w:color="auto" w:sz="4" w:space="0"/>
              <w:left w:val="single" w:color="auto" w:sz="4" w:space="0"/>
              <w:right w:val="single" w:color="auto" w:sz="4" w:space="0"/>
            </w:tcBorders>
            <w:vAlign w:val="center"/>
          </w:tcPr>
          <w:p>
            <w:pPr>
              <w:pStyle w:val="16"/>
            </w:pPr>
            <w:r>
              <w:rPr>
                <w:rFonts w:hint="eastAsia"/>
              </w:rPr>
              <w:t>时效指标</w:t>
            </w:r>
          </w:p>
        </w:tc>
        <w:tc>
          <w:tcPr>
            <w:tcW w:w="1613" w:type="pct"/>
            <w:tcBorders>
              <w:top w:val="nil"/>
              <w:left w:val="nil"/>
              <w:bottom w:val="single" w:color="auto" w:sz="4" w:space="0"/>
              <w:right w:val="single" w:color="auto" w:sz="4" w:space="0"/>
            </w:tcBorders>
            <w:shd w:val="clear" w:color="auto" w:fill="auto"/>
            <w:vAlign w:val="center"/>
          </w:tcPr>
          <w:p>
            <w:pPr>
              <w:pStyle w:val="16"/>
            </w:pPr>
            <w:r>
              <w:rPr>
                <w:rFonts w:hint="eastAsia"/>
              </w:rPr>
              <w:t>工资发放完成率</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rPr>
                <w:rFonts w:hint="eastAsia"/>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rPr>
                <w:rFonts w:hint="eastAsia"/>
              </w:rPr>
              <w:t>10</w:t>
            </w:r>
          </w:p>
        </w:tc>
      </w:tr>
      <w:tr>
        <w:tblPrEx>
          <w:tblCellMar>
            <w:top w:w="0" w:type="dxa"/>
            <w:left w:w="108" w:type="dxa"/>
            <w:bottom w:w="0" w:type="dxa"/>
            <w:right w:w="108" w:type="dxa"/>
          </w:tblCellMar>
        </w:tblPrEx>
        <w:trPr>
          <w:trHeight w:val="567" w:hRule="atLeast"/>
          <w:jc w:val="center"/>
        </w:trPr>
        <w:tc>
          <w:tcPr>
            <w:tcW w:w="773"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pStyle w:val="16"/>
            </w:pPr>
            <w:r>
              <w:rPr>
                <w:rFonts w:hint="eastAsia"/>
              </w:rPr>
              <w:t>效益指标</w:t>
            </w:r>
          </w:p>
        </w:tc>
        <w:tc>
          <w:tcPr>
            <w:tcW w:w="949" w:type="pct"/>
            <w:vMerge w:val="restart"/>
            <w:tcBorders>
              <w:top w:val="single" w:color="auto" w:sz="4" w:space="0"/>
              <w:left w:val="single" w:color="auto" w:sz="4" w:space="0"/>
              <w:right w:val="single" w:color="auto" w:sz="4" w:space="0"/>
            </w:tcBorders>
            <w:shd w:val="clear" w:color="auto" w:fill="auto"/>
            <w:vAlign w:val="center"/>
          </w:tcPr>
          <w:p>
            <w:pPr>
              <w:pStyle w:val="16"/>
            </w:pPr>
            <w:r>
              <w:rPr>
                <w:rFonts w:hint="eastAsia"/>
              </w:rPr>
              <w:t>社会效益指标</w:t>
            </w:r>
          </w:p>
        </w:tc>
        <w:tc>
          <w:tcPr>
            <w:tcW w:w="1613" w:type="pct"/>
            <w:tcBorders>
              <w:top w:val="single" w:color="000000" w:sz="4" w:space="0"/>
              <w:left w:val="nil"/>
              <w:bottom w:val="single" w:color="000000" w:sz="4" w:space="0"/>
              <w:right w:val="single" w:color="000000" w:sz="4" w:space="0"/>
            </w:tcBorders>
            <w:shd w:val="clear" w:color="auto" w:fill="auto"/>
            <w:vAlign w:val="center"/>
          </w:tcPr>
          <w:p>
            <w:pPr>
              <w:pStyle w:val="16"/>
            </w:pPr>
            <w:r>
              <w:rPr>
                <w:rFonts w:hint="eastAsia"/>
              </w:rPr>
              <w:t>增强退役士兵幸福感</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t>15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t>14</w:t>
            </w:r>
          </w:p>
        </w:tc>
      </w:tr>
      <w:tr>
        <w:tblPrEx>
          <w:tblCellMar>
            <w:top w:w="0" w:type="dxa"/>
            <w:left w:w="108" w:type="dxa"/>
            <w:bottom w:w="0" w:type="dxa"/>
            <w:right w:w="108" w:type="dxa"/>
          </w:tblCellMar>
        </w:tblPrEx>
        <w:trPr>
          <w:trHeight w:val="567" w:hRule="atLeast"/>
          <w:jc w:val="center"/>
        </w:trPr>
        <w:tc>
          <w:tcPr>
            <w:tcW w:w="773" w:type="pct"/>
            <w:vMerge w:val="continue"/>
            <w:tcBorders>
              <w:left w:val="single" w:color="auto" w:sz="4" w:space="0"/>
              <w:right w:val="single" w:color="auto" w:sz="4" w:space="0"/>
            </w:tcBorders>
            <w:shd w:val="clear" w:color="auto" w:fill="auto"/>
            <w:noWrap/>
            <w:vAlign w:val="center"/>
          </w:tcPr>
          <w:p>
            <w:pPr>
              <w:pStyle w:val="16"/>
            </w:pPr>
          </w:p>
        </w:tc>
        <w:tc>
          <w:tcPr>
            <w:tcW w:w="949" w:type="pct"/>
            <w:vMerge w:val="continue"/>
            <w:tcBorders>
              <w:left w:val="single" w:color="auto" w:sz="4" w:space="0"/>
              <w:bottom w:val="single" w:color="auto" w:sz="4" w:space="0"/>
              <w:right w:val="single" w:color="auto" w:sz="4" w:space="0"/>
            </w:tcBorders>
            <w:shd w:val="clear" w:color="auto" w:fill="auto"/>
            <w:vAlign w:val="center"/>
          </w:tcPr>
          <w:p>
            <w:pPr>
              <w:pStyle w:val="16"/>
            </w:pPr>
          </w:p>
        </w:tc>
        <w:tc>
          <w:tcPr>
            <w:tcW w:w="1613" w:type="pct"/>
            <w:tcBorders>
              <w:top w:val="single" w:color="000000" w:sz="4" w:space="0"/>
              <w:left w:val="nil"/>
              <w:bottom w:val="single" w:color="000000" w:sz="4" w:space="0"/>
              <w:right w:val="single" w:color="000000" w:sz="4" w:space="0"/>
            </w:tcBorders>
            <w:shd w:val="clear" w:color="auto" w:fill="auto"/>
            <w:vAlign w:val="center"/>
          </w:tcPr>
          <w:p>
            <w:pPr>
              <w:pStyle w:val="16"/>
            </w:pPr>
            <w:r>
              <w:rPr>
                <w:rFonts w:hint="eastAsia"/>
              </w:rPr>
              <w:t>形成退役士兵专项岗位常态化</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t>15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t>14</w:t>
            </w:r>
          </w:p>
        </w:tc>
      </w:tr>
      <w:tr>
        <w:tblPrEx>
          <w:tblCellMar>
            <w:top w:w="0" w:type="dxa"/>
            <w:left w:w="108" w:type="dxa"/>
            <w:bottom w:w="0" w:type="dxa"/>
            <w:right w:w="108" w:type="dxa"/>
          </w:tblCellMar>
        </w:tblPrEx>
        <w:trPr>
          <w:trHeight w:val="567" w:hRule="atLeast"/>
          <w:jc w:val="center"/>
        </w:trPr>
        <w:tc>
          <w:tcPr>
            <w:tcW w:w="773" w:type="pct"/>
            <w:tcBorders>
              <w:top w:val="single" w:color="auto" w:sz="4" w:space="0"/>
              <w:left w:val="single" w:color="auto" w:sz="4" w:space="0"/>
              <w:bottom w:val="single" w:color="auto" w:sz="4" w:space="0"/>
              <w:right w:val="single" w:color="auto" w:sz="4" w:space="0"/>
            </w:tcBorders>
            <w:shd w:val="clear" w:color="auto" w:fill="auto"/>
            <w:noWrap/>
            <w:vAlign w:val="center"/>
          </w:tcPr>
          <w:p>
            <w:pPr>
              <w:pStyle w:val="16"/>
            </w:pPr>
            <w:r>
              <w:rPr>
                <w:rFonts w:hint="eastAsia"/>
              </w:rPr>
              <w:t>满意度</w:t>
            </w:r>
          </w:p>
          <w:p>
            <w:pPr>
              <w:pStyle w:val="16"/>
            </w:pPr>
            <w:r>
              <w:rPr>
                <w:rFonts w:hint="eastAsia"/>
              </w:rPr>
              <w:t>指标</w:t>
            </w:r>
          </w:p>
        </w:tc>
        <w:tc>
          <w:tcPr>
            <w:tcW w:w="949" w:type="pct"/>
            <w:tcBorders>
              <w:top w:val="single" w:color="auto" w:sz="4" w:space="0"/>
              <w:left w:val="nil"/>
              <w:bottom w:val="single" w:color="auto" w:sz="4" w:space="0"/>
              <w:right w:val="single" w:color="auto" w:sz="4" w:space="0"/>
            </w:tcBorders>
            <w:shd w:val="clear" w:color="auto" w:fill="auto"/>
            <w:noWrap/>
            <w:vAlign w:val="center"/>
          </w:tcPr>
          <w:p>
            <w:pPr>
              <w:pStyle w:val="16"/>
            </w:pPr>
            <w:r>
              <w:rPr>
                <w:rFonts w:hint="eastAsia"/>
              </w:rPr>
              <w:t>服务对象满意度指标</w:t>
            </w:r>
          </w:p>
        </w:tc>
        <w:tc>
          <w:tcPr>
            <w:tcW w:w="1613" w:type="pct"/>
            <w:tcBorders>
              <w:top w:val="single" w:color="auto" w:sz="4" w:space="0"/>
              <w:left w:val="nil"/>
              <w:bottom w:val="single" w:color="auto" w:sz="4" w:space="0"/>
              <w:right w:val="single" w:color="auto" w:sz="4" w:space="0"/>
            </w:tcBorders>
            <w:shd w:val="clear" w:color="auto" w:fill="auto"/>
            <w:noWrap/>
            <w:vAlign w:val="center"/>
          </w:tcPr>
          <w:p>
            <w:pPr>
              <w:pStyle w:val="16"/>
            </w:pPr>
            <w:r>
              <w:rPr>
                <w:rFonts w:hint="eastAsia"/>
              </w:rPr>
              <w:t>退役军人满意率</w:t>
            </w:r>
          </w:p>
        </w:tc>
        <w:tc>
          <w:tcPr>
            <w:tcW w:w="852" w:type="pct"/>
            <w:tcBorders>
              <w:top w:val="single" w:color="auto" w:sz="4" w:space="0"/>
              <w:left w:val="single" w:color="000000" w:sz="4" w:space="0"/>
              <w:bottom w:val="single" w:color="auto" w:sz="4" w:space="0"/>
              <w:right w:val="single" w:color="000000" w:sz="4" w:space="0"/>
            </w:tcBorders>
            <w:shd w:val="clear" w:color="auto" w:fill="auto"/>
            <w:noWrap/>
            <w:vAlign w:val="center"/>
          </w:tcPr>
          <w:p>
            <w:pPr>
              <w:pStyle w:val="16"/>
            </w:pPr>
            <w:r>
              <w:rPr>
                <w:rFonts w:hint="eastAsia"/>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pPr>
            <w:r>
              <w:t>10</w:t>
            </w:r>
          </w:p>
        </w:tc>
      </w:tr>
      <w:tr>
        <w:tblPrEx>
          <w:tblCellMar>
            <w:top w:w="0" w:type="dxa"/>
            <w:left w:w="108" w:type="dxa"/>
            <w:bottom w:w="0" w:type="dxa"/>
            <w:right w:w="108" w:type="dxa"/>
          </w:tblCellMar>
        </w:tblPrEx>
        <w:trPr>
          <w:trHeight w:val="567" w:hRule="atLeast"/>
          <w:jc w:val="center"/>
        </w:trPr>
        <w:tc>
          <w:tcPr>
            <w:tcW w:w="3335"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pStyle w:val="16"/>
            </w:pPr>
            <w:r>
              <w:rPr>
                <w:rFonts w:hint="eastAsia"/>
              </w:rPr>
              <w:t>总分</w:t>
            </w:r>
          </w:p>
        </w:tc>
        <w:tc>
          <w:tcPr>
            <w:tcW w:w="852" w:type="pct"/>
            <w:tcBorders>
              <w:top w:val="single" w:color="auto" w:sz="4" w:space="0"/>
              <w:left w:val="nil"/>
              <w:bottom w:val="single" w:color="auto" w:sz="4" w:space="0"/>
              <w:right w:val="single" w:color="auto" w:sz="4" w:space="0"/>
            </w:tcBorders>
            <w:shd w:val="clear" w:color="auto" w:fill="auto"/>
            <w:noWrap/>
            <w:vAlign w:val="center"/>
          </w:tcPr>
          <w:p>
            <w:pPr>
              <w:pStyle w:val="16"/>
            </w:pPr>
            <w:r>
              <w:rPr>
                <w:rFonts w:hint="eastAsia"/>
              </w:rPr>
              <w:t>1</w:t>
            </w:r>
            <w:r>
              <w:t>00</w:t>
            </w:r>
          </w:p>
        </w:tc>
        <w:tc>
          <w:tcPr>
            <w:tcW w:w="813" w:type="pct"/>
            <w:tcBorders>
              <w:top w:val="single" w:color="auto" w:sz="4" w:space="0"/>
              <w:left w:val="nil"/>
              <w:bottom w:val="single" w:color="auto" w:sz="4" w:space="0"/>
              <w:right w:val="single" w:color="auto" w:sz="4" w:space="0"/>
            </w:tcBorders>
            <w:shd w:val="clear" w:color="auto" w:fill="auto"/>
            <w:noWrap/>
            <w:vAlign w:val="center"/>
          </w:tcPr>
          <w:p>
            <w:pPr>
              <w:pStyle w:val="16"/>
            </w:pPr>
            <w:r>
              <w:rPr>
                <w:rFonts w:hint="eastAsia"/>
              </w:rPr>
              <w:t>9</w:t>
            </w:r>
            <w:r>
              <w:t>8</w:t>
            </w:r>
          </w:p>
        </w:tc>
      </w:tr>
    </w:tbl>
    <w:p>
      <w:pPr>
        <w:pStyle w:val="3"/>
      </w:pPr>
      <w:bookmarkStart w:id="39" w:name="_Toc79333445"/>
      <w:bookmarkStart w:id="40" w:name="_Toc31442"/>
      <w:bookmarkStart w:id="41" w:name="_Toc24245"/>
      <w:r>
        <w:rPr>
          <w:rFonts w:hint="eastAsia"/>
        </w:rPr>
        <w:t>（二）自评指标分析</w:t>
      </w:r>
      <w:bookmarkEnd w:id="39"/>
      <w:bookmarkEnd w:id="40"/>
      <w:bookmarkEnd w:id="41"/>
    </w:p>
    <w:p>
      <w:pPr>
        <w:pStyle w:val="4"/>
        <w:ind w:firstLine="643"/>
      </w:pPr>
      <w:bookmarkStart w:id="42" w:name="_Toc9747"/>
      <w:bookmarkStart w:id="43" w:name="_Toc79333446"/>
      <w:r>
        <w:rPr>
          <w:rFonts w:hint="eastAsia"/>
        </w:rPr>
        <w:t>1、预算执行指标分析</w:t>
      </w:r>
      <w:bookmarkEnd w:id="42"/>
      <w:bookmarkEnd w:id="43"/>
    </w:p>
    <w:p>
      <w:pPr>
        <w:ind w:firstLine="640"/>
      </w:pPr>
      <w:r>
        <w:rPr>
          <w:rFonts w:hint="eastAsia"/>
        </w:rPr>
        <w:t>一级指标“预算执行”下设一个二级指标和一个三级指标，均为“预算执行率”，该指标标准分值</w:t>
      </w:r>
      <w:r>
        <w:t>10分，实际得分</w:t>
      </w:r>
      <w:r>
        <w:rPr>
          <w:rFonts w:hint="eastAsia"/>
        </w:rPr>
        <w:t>10分。</w:t>
      </w:r>
    </w:p>
    <w:p>
      <w:pPr>
        <w:ind w:firstLine="640"/>
      </w:pPr>
      <w:r>
        <w:rPr>
          <w:rFonts w:hint="eastAsia"/>
        </w:rPr>
        <w:t>项目全年预算资金为2</w:t>
      </w:r>
      <w:r>
        <w:rPr>
          <w:rFonts w:hint="eastAsia"/>
          <w:lang w:val="en-US" w:eastAsia="zh-CN"/>
        </w:rPr>
        <w:t>123.88</w:t>
      </w:r>
      <w:r>
        <w:rPr>
          <w:rFonts w:hint="eastAsia"/>
        </w:rPr>
        <w:t>万元，全年执行数为2</w:t>
      </w:r>
      <w:r>
        <w:rPr>
          <w:rFonts w:hint="eastAsia"/>
          <w:lang w:val="en-US" w:eastAsia="zh-CN"/>
        </w:rPr>
        <w:t>123.8</w:t>
      </w:r>
      <w:bookmarkStart w:id="65" w:name="_GoBack"/>
      <w:bookmarkEnd w:id="65"/>
      <w:r>
        <w:rPr>
          <w:rFonts w:hint="eastAsia"/>
        </w:rPr>
        <w:t>8万元，预算执行率100</w:t>
      </w:r>
      <w:r>
        <w:t>%，根据评分标准，预算执行率得分</w:t>
      </w:r>
      <w:r>
        <w:rPr>
          <w:rFonts w:hint="eastAsia"/>
        </w:rPr>
        <w:t>10分。</w:t>
      </w:r>
    </w:p>
    <w:p>
      <w:pPr>
        <w:pStyle w:val="4"/>
        <w:ind w:firstLine="643"/>
      </w:pPr>
      <w:bookmarkStart w:id="44" w:name="_Toc79333447"/>
      <w:r>
        <w:rPr>
          <w:rFonts w:hint="eastAsia"/>
        </w:rPr>
        <w:t>2、产出指标分析</w:t>
      </w:r>
      <w:bookmarkEnd w:id="44"/>
    </w:p>
    <w:p>
      <w:pPr>
        <w:ind w:firstLine="640"/>
      </w:pPr>
      <w:r>
        <w:rPr>
          <w:rFonts w:hint="eastAsia"/>
        </w:rPr>
        <w:t>一级指标“产出指标”下设三个二级指标分别是：“数量指标”、“质量指标”、“时效指标”。</w:t>
      </w:r>
    </w:p>
    <w:p>
      <w:pPr>
        <w:ind w:firstLine="640"/>
      </w:pPr>
      <w:r>
        <w:rPr>
          <w:rFonts w:hint="eastAsia"/>
        </w:rPr>
        <w:t>（1）数量指标</w:t>
      </w:r>
    </w:p>
    <w:p>
      <w:pPr>
        <w:ind w:firstLine="640"/>
      </w:pPr>
      <w:r>
        <w:rPr>
          <w:rFonts w:hint="eastAsia"/>
        </w:rPr>
        <w:t>“数量指标”下设二个三级指标“预计专项岗位人数”及“保障月数”。</w:t>
      </w:r>
    </w:p>
    <w:p>
      <w:pPr>
        <w:ind w:firstLine="640"/>
      </w:pPr>
      <w:r>
        <w:rPr>
          <w:rFonts w:hint="eastAsia"/>
        </w:rPr>
        <w:t>截止2</w:t>
      </w:r>
      <w:r>
        <w:t>02</w:t>
      </w:r>
      <w:r>
        <w:rPr>
          <w:rFonts w:hint="eastAsia"/>
        </w:rPr>
        <w:t>1年1</w:t>
      </w:r>
      <w:r>
        <w:t>2</w:t>
      </w:r>
      <w:r>
        <w:rPr>
          <w:rFonts w:hint="eastAsia"/>
        </w:rPr>
        <w:t>月3</w:t>
      </w:r>
      <w:r>
        <w:t>1</w:t>
      </w:r>
      <w:r>
        <w:rPr>
          <w:rFonts w:hint="eastAsia"/>
        </w:rPr>
        <w:t>日，专项岗位人数为700余人，该指标标准分值1</w:t>
      </w:r>
      <w:r>
        <w:t>5分，得</w:t>
      </w:r>
      <w:r>
        <w:rPr>
          <w:rFonts w:hint="eastAsia"/>
        </w:rPr>
        <w:t>1</w:t>
      </w:r>
      <w:r>
        <w:t>5分</w:t>
      </w:r>
      <w:r>
        <w:rPr>
          <w:rFonts w:hint="eastAsia"/>
        </w:rPr>
        <w:t>；保障月数为</w:t>
      </w:r>
      <w:r>
        <w:t>12</w:t>
      </w:r>
      <w:r>
        <w:rPr>
          <w:rFonts w:hint="eastAsia"/>
        </w:rPr>
        <w:t>个，该指标标准分值1</w:t>
      </w:r>
      <w:r>
        <w:t>5分，得</w:t>
      </w:r>
      <w:r>
        <w:rPr>
          <w:rFonts w:hint="eastAsia"/>
        </w:rPr>
        <w:t>1</w:t>
      </w:r>
      <w:r>
        <w:t>5分</w:t>
      </w:r>
      <w:r>
        <w:rPr>
          <w:rFonts w:hint="eastAsia"/>
        </w:rPr>
        <w:t>。</w:t>
      </w:r>
    </w:p>
    <w:p>
      <w:pPr>
        <w:ind w:firstLine="640"/>
      </w:pPr>
      <w:r>
        <w:rPr>
          <w:rFonts w:hint="eastAsia"/>
        </w:rPr>
        <w:t>综上所述，根据评分标准，数量指标实际得</w:t>
      </w:r>
      <w:r>
        <w:t>3</w:t>
      </w:r>
      <w:r>
        <w:rPr>
          <w:rFonts w:hint="eastAsia"/>
        </w:rPr>
        <w:t>0</w:t>
      </w:r>
      <w:r>
        <w:t>分。</w:t>
      </w:r>
    </w:p>
    <w:p>
      <w:pPr>
        <w:ind w:firstLine="640"/>
      </w:pPr>
      <w:r>
        <w:rPr>
          <w:rFonts w:hint="eastAsia"/>
        </w:rPr>
        <w:t>（2）质量指标</w:t>
      </w:r>
    </w:p>
    <w:p>
      <w:pPr>
        <w:ind w:firstLine="640"/>
      </w:pPr>
      <w:r>
        <w:rPr>
          <w:rFonts w:hint="eastAsia"/>
        </w:rPr>
        <w:t>“质量指标”下设一个三级指标“工资发放足额率”。</w:t>
      </w:r>
    </w:p>
    <w:p>
      <w:pPr>
        <w:ind w:firstLine="640"/>
      </w:pPr>
      <w:r>
        <w:rPr>
          <w:rFonts w:hint="eastAsia"/>
        </w:rPr>
        <w:t>服务窗口接待率达到1</w:t>
      </w:r>
      <w:r>
        <w:t>00</w:t>
      </w:r>
      <w:r>
        <w:rPr>
          <w:rFonts w:hint="eastAsia"/>
        </w:rPr>
        <w:t>%，该指标标准分值为</w:t>
      </w:r>
      <w:r>
        <w:t>10</w:t>
      </w:r>
      <w:r>
        <w:rPr>
          <w:rFonts w:hint="eastAsia"/>
        </w:rPr>
        <w:t>分，得分为</w:t>
      </w:r>
      <w:r>
        <w:t>10</w:t>
      </w:r>
      <w:r>
        <w:rPr>
          <w:rFonts w:hint="eastAsia"/>
        </w:rPr>
        <w:t>分</w:t>
      </w:r>
    </w:p>
    <w:p>
      <w:pPr>
        <w:ind w:firstLine="640"/>
      </w:pPr>
      <w:r>
        <w:rPr>
          <w:rFonts w:hint="eastAsia"/>
        </w:rPr>
        <w:t>综上所述，根据评分标准，质量指标实际得</w:t>
      </w:r>
      <w:r>
        <w:t>10分。</w:t>
      </w:r>
    </w:p>
    <w:p>
      <w:pPr>
        <w:ind w:firstLine="640"/>
      </w:pPr>
      <w:r>
        <w:rPr>
          <w:rFonts w:hint="eastAsia"/>
        </w:rPr>
        <w:t>（3）时效指标</w:t>
      </w:r>
    </w:p>
    <w:p>
      <w:pPr>
        <w:ind w:firstLine="640"/>
      </w:pPr>
      <w:r>
        <w:rPr>
          <w:rFonts w:hint="eastAsia"/>
        </w:rPr>
        <w:t>“时效指标”下设一个三级指标“工资发放完成率”。</w:t>
      </w:r>
    </w:p>
    <w:p>
      <w:pPr>
        <w:ind w:firstLine="640"/>
      </w:pPr>
      <w:bookmarkStart w:id="45" w:name="_Hlk79160389"/>
      <w:r>
        <w:rPr>
          <w:rFonts w:hint="eastAsia"/>
        </w:rPr>
        <w:t>工资发放完成率达到1</w:t>
      </w:r>
      <w:r>
        <w:t>00</w:t>
      </w:r>
      <w:r>
        <w:rPr>
          <w:rFonts w:hint="eastAsia"/>
        </w:rPr>
        <w:t>%。该指标标准分值为10</w:t>
      </w:r>
      <w:r>
        <w:t>分，得分为</w:t>
      </w:r>
      <w:r>
        <w:rPr>
          <w:rFonts w:hint="eastAsia"/>
        </w:rPr>
        <w:t>1</w:t>
      </w:r>
      <w:r>
        <w:t>0分</w:t>
      </w:r>
      <w:r>
        <w:rPr>
          <w:rFonts w:hint="eastAsia"/>
        </w:rPr>
        <w:t>。</w:t>
      </w:r>
    </w:p>
    <w:bookmarkEnd w:id="45"/>
    <w:p>
      <w:pPr>
        <w:pStyle w:val="4"/>
        <w:ind w:firstLine="643"/>
      </w:pPr>
      <w:bookmarkStart w:id="46" w:name="_Toc79333448"/>
      <w:r>
        <w:t>3、效益指标分析</w:t>
      </w:r>
      <w:bookmarkEnd w:id="46"/>
    </w:p>
    <w:p>
      <w:pPr>
        <w:ind w:firstLine="640"/>
      </w:pPr>
      <w:r>
        <w:rPr>
          <w:rFonts w:hint="eastAsia"/>
        </w:rPr>
        <w:t>“效益指标”下设一个二级指标，分别为“社会效益”。</w:t>
      </w:r>
    </w:p>
    <w:p>
      <w:pPr>
        <w:ind w:firstLine="640"/>
      </w:pPr>
      <w:r>
        <w:rPr>
          <w:rFonts w:hint="eastAsia"/>
        </w:rPr>
        <w:t>（</w:t>
      </w:r>
      <w:r>
        <w:t>1</w:t>
      </w:r>
      <w:r>
        <w:rPr>
          <w:rFonts w:hint="eastAsia"/>
        </w:rPr>
        <w:t>）社会效益</w:t>
      </w:r>
    </w:p>
    <w:p>
      <w:pPr>
        <w:ind w:firstLine="640"/>
      </w:pPr>
      <w:r>
        <w:rPr>
          <w:rFonts w:hint="eastAsia"/>
        </w:rPr>
        <w:t>“社会效益”下设三级指标“增强退役士兵幸福感”和“形成退役士兵专项岗位常态化”。</w:t>
      </w:r>
    </w:p>
    <w:p>
      <w:pPr>
        <w:ind w:firstLine="640"/>
      </w:pPr>
      <w:r>
        <w:rPr>
          <w:rFonts w:hint="eastAsia"/>
        </w:rPr>
        <w:t>进一步增强退役士兵幸福感。该指标标准分值为</w:t>
      </w:r>
      <w:r>
        <w:t>15</w:t>
      </w:r>
      <w:r>
        <w:rPr>
          <w:rFonts w:hint="eastAsia"/>
        </w:rPr>
        <w:t>分，实际综合得分为</w:t>
      </w:r>
      <w:r>
        <w:t>14</w:t>
      </w:r>
      <w:r>
        <w:rPr>
          <w:rFonts w:hint="eastAsia"/>
        </w:rPr>
        <w:t>分。进一步形成退役士兵专项岗位常态化。该指标标准分值为</w:t>
      </w:r>
      <w:r>
        <w:t>15</w:t>
      </w:r>
      <w:r>
        <w:rPr>
          <w:rFonts w:hint="eastAsia"/>
        </w:rPr>
        <w:t>分，实际综合得分为</w:t>
      </w:r>
      <w:r>
        <w:t>14</w:t>
      </w:r>
      <w:r>
        <w:rPr>
          <w:rFonts w:hint="eastAsia"/>
        </w:rPr>
        <w:t>分。</w:t>
      </w:r>
    </w:p>
    <w:p>
      <w:pPr>
        <w:ind w:firstLine="640"/>
      </w:pPr>
      <w:r>
        <w:rPr>
          <w:rFonts w:hint="eastAsia"/>
        </w:rPr>
        <w:t>综上所述，根据评分标准，效益指标实际得</w:t>
      </w:r>
      <w:r>
        <w:t>28分。</w:t>
      </w:r>
    </w:p>
    <w:p>
      <w:pPr>
        <w:pStyle w:val="4"/>
        <w:ind w:firstLine="643"/>
      </w:pPr>
      <w:bookmarkStart w:id="47" w:name="_Toc79333449"/>
      <w:r>
        <w:t>4、满意度指标分析</w:t>
      </w:r>
      <w:bookmarkEnd w:id="47"/>
    </w:p>
    <w:p>
      <w:pPr>
        <w:ind w:firstLine="640"/>
      </w:pPr>
      <w:r>
        <w:rPr>
          <w:rFonts w:hint="eastAsia"/>
        </w:rPr>
        <w:t>满意度：项目满意率达到95%，该项指标标准分值10分，得分为</w:t>
      </w:r>
      <w:r>
        <w:t>10</w:t>
      </w:r>
      <w:r>
        <w:rPr>
          <w:rFonts w:hint="eastAsia"/>
        </w:rPr>
        <w:t>分。</w:t>
      </w:r>
    </w:p>
    <w:p>
      <w:pPr>
        <w:pStyle w:val="2"/>
      </w:pPr>
      <w:bookmarkStart w:id="48" w:name="_Toc29830"/>
      <w:bookmarkStart w:id="49" w:name="_Toc1809"/>
      <w:bookmarkStart w:id="50" w:name="_Toc79333450"/>
      <w:r>
        <w:rPr>
          <w:rFonts w:hint="eastAsia"/>
        </w:rPr>
        <w:t>四、成果和问题</w:t>
      </w:r>
      <w:bookmarkEnd w:id="48"/>
      <w:bookmarkEnd w:id="49"/>
      <w:bookmarkEnd w:id="50"/>
    </w:p>
    <w:p>
      <w:pPr>
        <w:pStyle w:val="3"/>
      </w:pPr>
      <w:bookmarkStart w:id="51" w:name="_Toc79333451"/>
      <w:bookmarkStart w:id="52" w:name="_Toc30565"/>
      <w:r>
        <w:rPr>
          <w:rFonts w:hint="eastAsia"/>
        </w:rPr>
        <w:t>（一）项目实施的成果</w:t>
      </w:r>
      <w:bookmarkEnd w:id="51"/>
      <w:bookmarkEnd w:id="52"/>
    </w:p>
    <w:p>
      <w:pPr>
        <w:ind w:firstLine="640"/>
      </w:pPr>
      <w:bookmarkStart w:id="53" w:name="_Toc30691"/>
      <w:bookmarkStart w:id="54" w:name="_Toc79333452"/>
      <w:r>
        <w:rPr>
          <w:rFonts w:hint="eastAsia"/>
        </w:rPr>
        <w:t>按照县委、县政府的工作要求，对单位项目支持实施全面绩效评价，有效保障项目管理工作、资金管理工作的顺利进行。</w:t>
      </w:r>
    </w:p>
    <w:p>
      <w:pPr>
        <w:pStyle w:val="3"/>
      </w:pPr>
      <w:r>
        <w:rPr>
          <w:rFonts w:hint="eastAsia"/>
        </w:rPr>
        <w:t>（二）项目存在的问题</w:t>
      </w:r>
      <w:bookmarkEnd w:id="53"/>
      <w:bookmarkEnd w:id="54"/>
    </w:p>
    <w:p>
      <w:pPr>
        <w:ind w:firstLine="643"/>
        <w:rPr>
          <w:b/>
        </w:rPr>
      </w:pPr>
      <w:r>
        <w:rPr>
          <w:rFonts w:hint="eastAsia"/>
          <w:b/>
        </w:rPr>
        <w:t>1、绩效管理意识薄弱</w:t>
      </w:r>
    </w:p>
    <w:p>
      <w:pPr>
        <w:ind w:firstLine="640"/>
      </w:pPr>
      <w:r>
        <w:rPr>
          <w:rFonts w:hint="eastAsia"/>
        </w:rPr>
        <w:t>我单位在进行绩效自评工作时，发现单位绩效管理意识薄弱，有待进一步加强。</w:t>
      </w:r>
    </w:p>
    <w:p>
      <w:pPr>
        <w:ind w:firstLine="643"/>
        <w:rPr>
          <w:b/>
        </w:rPr>
      </w:pPr>
      <w:r>
        <w:rPr>
          <w:rFonts w:hint="eastAsia"/>
          <w:b/>
        </w:rPr>
        <w:t>2、绩效管理水平有待进一步提高</w:t>
      </w:r>
    </w:p>
    <w:p>
      <w:pPr>
        <w:ind w:firstLine="640"/>
      </w:pPr>
      <w:r>
        <w:rPr>
          <w:rFonts w:hint="eastAsia"/>
        </w:rPr>
        <w:t>我单位在进行绩效自评工作时，发现个别绩效指标设置不够合理，细化量化程度不足，自评结果不够十分准确。</w:t>
      </w:r>
    </w:p>
    <w:p>
      <w:pPr>
        <w:pStyle w:val="2"/>
      </w:pPr>
      <w:bookmarkStart w:id="55" w:name="_Toc27227"/>
      <w:bookmarkStart w:id="56" w:name="_Toc79333453"/>
      <w:bookmarkStart w:id="57" w:name="_Toc6382"/>
      <w:r>
        <w:rPr>
          <w:rFonts w:hint="eastAsia"/>
        </w:rPr>
        <w:t>五、建议</w:t>
      </w:r>
      <w:bookmarkEnd w:id="55"/>
      <w:bookmarkEnd w:id="56"/>
      <w:bookmarkEnd w:id="57"/>
    </w:p>
    <w:p>
      <w:pPr>
        <w:pStyle w:val="3"/>
      </w:pPr>
      <w:bookmarkStart w:id="58" w:name="_Toc18797"/>
      <w:bookmarkStart w:id="59" w:name="_Toc79333454"/>
      <w:r>
        <w:rPr>
          <w:rFonts w:hint="eastAsia"/>
        </w:rPr>
        <w:t>（一）强化预算绩效管理意识，提升项目产出效益</w:t>
      </w:r>
      <w:bookmarkEnd w:id="58"/>
      <w:bookmarkEnd w:id="59"/>
    </w:p>
    <w:p>
      <w:pPr>
        <w:ind w:firstLine="640"/>
        <w:rPr>
          <w:color w:val="000000" w:themeColor="text1"/>
          <w14:textFill>
            <w14:solidFill>
              <w14:schemeClr w14:val="tx1"/>
            </w14:solidFill>
          </w14:textFill>
        </w:rPr>
      </w:pPr>
      <w:bookmarkStart w:id="60" w:name="_Toc19326"/>
      <w:bookmarkStart w:id="61" w:name="_Toc79333455"/>
      <w:r>
        <w:rPr>
          <w:rFonts w:hint="eastAsia"/>
          <w:color w:val="000000" w:themeColor="text1"/>
          <w14:textFill>
            <w14:solidFill>
              <w14:schemeClr w14:val="tx1"/>
            </w14:solidFill>
          </w14:textFill>
        </w:rPr>
        <w:t>我单位应按照全面实施预算绩效管理工作要求：牢固树立预算绩效管理理念，加快推进全方位、全过程、全覆盖的预算绩效管理体系建设，积极推进全面实施预算绩效管理工作，提升预算绩效管理水平。</w:t>
      </w:r>
    </w:p>
    <w:p>
      <w:pPr>
        <w:pStyle w:val="3"/>
      </w:pPr>
      <w:r>
        <w:rPr>
          <w:rFonts w:hint="eastAsia"/>
        </w:rPr>
        <w:t>（二）加强学习培训，进一步提高绩效管理水平</w:t>
      </w:r>
      <w:bookmarkEnd w:id="60"/>
      <w:bookmarkEnd w:id="61"/>
    </w:p>
    <w:p>
      <w:pPr>
        <w:ind w:firstLine="640"/>
        <w:rPr>
          <w:highlight w:val="yellow"/>
        </w:rPr>
      </w:pPr>
      <w:r>
        <w:rPr>
          <w:rFonts w:hint="eastAsia"/>
        </w:rPr>
        <w:t>本次自评属我单位首次开展，通过本次自评，发现我单位整体绩效评价水平不够，为更好的开展以后绩效评价和项目管理工作，建议财政部门组织绩效管理专题培训会议。</w:t>
      </w:r>
    </w:p>
    <w:p>
      <w:pPr>
        <w:pStyle w:val="2"/>
      </w:pPr>
      <w:bookmarkStart w:id="62" w:name="_Toc665"/>
      <w:bookmarkStart w:id="63" w:name="_Toc6061"/>
      <w:bookmarkStart w:id="64" w:name="_Toc79333457"/>
      <w:r>
        <w:rPr>
          <w:rFonts w:hint="eastAsia"/>
        </w:rPr>
        <w:t>六、其他需要说明的问题</w:t>
      </w:r>
      <w:bookmarkEnd w:id="62"/>
      <w:bookmarkEnd w:id="63"/>
      <w:bookmarkEnd w:id="64"/>
    </w:p>
    <w:p>
      <w:pPr>
        <w:pStyle w:val="2"/>
        <w:ind w:firstLine="643" w:firstLineChars="200"/>
      </w:pPr>
      <w:r>
        <w:rPr>
          <w:rFonts w:hint="eastAsia"/>
        </w:rPr>
        <w:t>无</w:t>
      </w:r>
    </w:p>
    <w:p>
      <w:pPr>
        <w:ind w:firstLine="640"/>
      </w:pPr>
      <w:r>
        <w:rPr>
          <w:rFonts w:hint="eastAsia"/>
        </w:rPr>
        <w:t>附件一：项目绩效自评表</w:t>
      </w:r>
    </w:p>
    <w:p>
      <w:pPr>
        <w:ind w:firstLine="640"/>
        <w:sectPr>
          <w:footerReference r:id="rId12" w:type="default"/>
          <w:pgSz w:w="11906" w:h="16838"/>
          <w:pgMar w:top="1440" w:right="1800" w:bottom="1440" w:left="1800" w:header="851" w:footer="737" w:gutter="0"/>
          <w:pgNumType w:start="1"/>
          <w:cols w:space="0" w:num="1"/>
          <w:docGrid w:linePitch="312" w:charSpace="0"/>
        </w:sectPr>
      </w:pPr>
    </w:p>
    <w:p>
      <w:pPr>
        <w:pStyle w:val="3"/>
      </w:pPr>
    </w:p>
    <w:p>
      <w:pPr>
        <w:tabs>
          <w:tab w:val="left" w:pos="1400"/>
        </w:tabs>
        <w:spacing w:line="20" w:lineRule="exact"/>
        <w:ind w:firstLine="640"/>
      </w:pPr>
    </w:p>
    <w:sectPr>
      <w:pgSz w:w="16838" w:h="11906" w:orient="landscape"/>
      <w:pgMar w:top="1797" w:right="1440" w:bottom="1797" w:left="1440" w:header="851" w:footer="992" w:gutter="0"/>
      <w:cols w:space="425" w:num="1"/>
      <w:docGrid w:type="linesAndChars" w:linePitch="312" w:charSpace="0"/>
    </w:sectPr>
  </w:body>
</w:document>
</file>

<file path=word/customizations.xml><?xml version="1.0" encoding="utf-8"?>
<wne:tcg xmlns:r="http://schemas.openxmlformats.org/officeDocument/2006/relationships" xmlns:wne="http://schemas.microsoft.com/office/word/2006/wordml">
  <wne:keymaps>
    <wne:keymap wne:kcmPrimary="0431">
      <wne:acd wne:acdName="acd0"/>
    </wne:keymap>
    <wne:keymap wne:kcmPrimary="0432">
      <wne:acd wne:acdName="acd1"/>
    </wne:keymap>
    <wne:keymap wne:kcmPrimary="0433">
      <wne:acd wne:acdName="acd2"/>
    </wne:keymap>
    <wne:keymap wne:kcmPrimary="0435">
      <wne:acd wne:acdName="acd3"/>
    </wne:keymap>
  </wne:keymaps>
  <wne:acds>
    <wne:acd wne:argValue="AQAAAAAA" wne:acdName="acd0" wne:fciIndexBasedOn="0065"/>
    <wne:acd wne:argValue="AQAAAAIA" wne:acdName="acd1" wne:fciIndexBasedOn="0065"/>
    <wne:acd wne:argValue="AQAAAAMA" wne:acdName="acd2" wne:fciIndexBasedOn="0065"/>
    <wne:acd wne:argValue="AgBoiDxo" wne:acdName="acd3"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5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ind w:firstLine="560"/>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8"/>
                      <w:ind w:firstLine="560"/>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5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8"/>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F18868"/>
    <w:multiLevelType w:val="singleLevel"/>
    <w:tmpl w:val="41F18868"/>
    <w:lvl w:ilvl="0" w:tentative="0">
      <w:start w:val="1"/>
      <w:numFmt w:val="decimal"/>
      <w:suff w:val="nothing"/>
      <w:lvlText w:val="%1．"/>
      <w:lvlJc w:val="left"/>
      <w:pPr>
        <w:ind w:left="0" w:firstLine="4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HorizontalSpacing w:val="280"/>
  <w:drawingGridVerticalSpacing w:val="156"/>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JmZjIyNTI5NzI3YjY2ZDZiZWYyOTVhMmE2NTA2ZjQifQ=="/>
  </w:docVars>
  <w:rsids>
    <w:rsidRoot w:val="006E18D1"/>
    <w:rsid w:val="00000467"/>
    <w:rsid w:val="00014831"/>
    <w:rsid w:val="00015EA2"/>
    <w:rsid w:val="00017BC4"/>
    <w:rsid w:val="00020A09"/>
    <w:rsid w:val="00025125"/>
    <w:rsid w:val="00033BB4"/>
    <w:rsid w:val="0003465C"/>
    <w:rsid w:val="0007513C"/>
    <w:rsid w:val="00084C11"/>
    <w:rsid w:val="0009525A"/>
    <w:rsid w:val="000A5385"/>
    <w:rsid w:val="000A56EE"/>
    <w:rsid w:val="000E7769"/>
    <w:rsid w:val="00107A3B"/>
    <w:rsid w:val="00111C89"/>
    <w:rsid w:val="00114002"/>
    <w:rsid w:val="001209A1"/>
    <w:rsid w:val="00124E12"/>
    <w:rsid w:val="00134BDF"/>
    <w:rsid w:val="001372F1"/>
    <w:rsid w:val="00143FC7"/>
    <w:rsid w:val="00164B0F"/>
    <w:rsid w:val="00172020"/>
    <w:rsid w:val="00173BDA"/>
    <w:rsid w:val="00183550"/>
    <w:rsid w:val="00187CCE"/>
    <w:rsid w:val="00195B9E"/>
    <w:rsid w:val="001971D2"/>
    <w:rsid w:val="001A2CF8"/>
    <w:rsid w:val="001B0C73"/>
    <w:rsid w:val="001B4AF7"/>
    <w:rsid w:val="001B6E21"/>
    <w:rsid w:val="001C2BC4"/>
    <w:rsid w:val="001C4182"/>
    <w:rsid w:val="001D3BA3"/>
    <w:rsid w:val="001D6625"/>
    <w:rsid w:val="001E2DE8"/>
    <w:rsid w:val="00206C6A"/>
    <w:rsid w:val="00223B68"/>
    <w:rsid w:val="00224728"/>
    <w:rsid w:val="00227546"/>
    <w:rsid w:val="00242935"/>
    <w:rsid w:val="002507E2"/>
    <w:rsid w:val="002525ED"/>
    <w:rsid w:val="00252BB8"/>
    <w:rsid w:val="002649B8"/>
    <w:rsid w:val="00265560"/>
    <w:rsid w:val="002A45DC"/>
    <w:rsid w:val="002A61B1"/>
    <w:rsid w:val="002B6AB4"/>
    <w:rsid w:val="002B779B"/>
    <w:rsid w:val="002C32A5"/>
    <w:rsid w:val="002D335B"/>
    <w:rsid w:val="002E2F3F"/>
    <w:rsid w:val="002F169E"/>
    <w:rsid w:val="00302EE8"/>
    <w:rsid w:val="00303563"/>
    <w:rsid w:val="00323C62"/>
    <w:rsid w:val="00335542"/>
    <w:rsid w:val="00337A20"/>
    <w:rsid w:val="003477C0"/>
    <w:rsid w:val="00357430"/>
    <w:rsid w:val="0035746E"/>
    <w:rsid w:val="003740DA"/>
    <w:rsid w:val="00382027"/>
    <w:rsid w:val="00386908"/>
    <w:rsid w:val="00397BDC"/>
    <w:rsid w:val="003C1582"/>
    <w:rsid w:val="003D69A6"/>
    <w:rsid w:val="003E1139"/>
    <w:rsid w:val="003E1513"/>
    <w:rsid w:val="003E56BE"/>
    <w:rsid w:val="003E5C49"/>
    <w:rsid w:val="003E69D2"/>
    <w:rsid w:val="00402DC2"/>
    <w:rsid w:val="004034F0"/>
    <w:rsid w:val="00410C6F"/>
    <w:rsid w:val="0042364F"/>
    <w:rsid w:val="004333B5"/>
    <w:rsid w:val="00441F6E"/>
    <w:rsid w:val="004478BE"/>
    <w:rsid w:val="004839E2"/>
    <w:rsid w:val="004869ED"/>
    <w:rsid w:val="00496DC4"/>
    <w:rsid w:val="004A7A9E"/>
    <w:rsid w:val="004B04EA"/>
    <w:rsid w:val="004B274D"/>
    <w:rsid w:val="004B59BE"/>
    <w:rsid w:val="004B702C"/>
    <w:rsid w:val="004C4A8B"/>
    <w:rsid w:val="004C73AE"/>
    <w:rsid w:val="004D1D02"/>
    <w:rsid w:val="004D38F1"/>
    <w:rsid w:val="004E5F55"/>
    <w:rsid w:val="00500253"/>
    <w:rsid w:val="00511AED"/>
    <w:rsid w:val="00532771"/>
    <w:rsid w:val="005360C8"/>
    <w:rsid w:val="00544CD5"/>
    <w:rsid w:val="00546688"/>
    <w:rsid w:val="0057125A"/>
    <w:rsid w:val="005A1AFF"/>
    <w:rsid w:val="005A4096"/>
    <w:rsid w:val="005A5773"/>
    <w:rsid w:val="005A5E2A"/>
    <w:rsid w:val="005B558F"/>
    <w:rsid w:val="005B5B94"/>
    <w:rsid w:val="005C4E72"/>
    <w:rsid w:val="005D1837"/>
    <w:rsid w:val="005D751E"/>
    <w:rsid w:val="005E2918"/>
    <w:rsid w:val="005E4C4B"/>
    <w:rsid w:val="005E4FDE"/>
    <w:rsid w:val="006067A5"/>
    <w:rsid w:val="00612F8F"/>
    <w:rsid w:val="00617387"/>
    <w:rsid w:val="006219B2"/>
    <w:rsid w:val="00634FF9"/>
    <w:rsid w:val="00636695"/>
    <w:rsid w:val="00641606"/>
    <w:rsid w:val="00642BB8"/>
    <w:rsid w:val="006447D8"/>
    <w:rsid w:val="006564C8"/>
    <w:rsid w:val="00671DEC"/>
    <w:rsid w:val="00682436"/>
    <w:rsid w:val="00687B10"/>
    <w:rsid w:val="00696AC7"/>
    <w:rsid w:val="006A0C3B"/>
    <w:rsid w:val="006C1DA1"/>
    <w:rsid w:val="006E18D1"/>
    <w:rsid w:val="006F4D2E"/>
    <w:rsid w:val="006F7BD2"/>
    <w:rsid w:val="00707F5E"/>
    <w:rsid w:val="00722BF5"/>
    <w:rsid w:val="00722EB4"/>
    <w:rsid w:val="007245B6"/>
    <w:rsid w:val="00731FB1"/>
    <w:rsid w:val="00732859"/>
    <w:rsid w:val="00733D5C"/>
    <w:rsid w:val="00735E28"/>
    <w:rsid w:val="00761B7C"/>
    <w:rsid w:val="00766ECA"/>
    <w:rsid w:val="00775087"/>
    <w:rsid w:val="00787EC4"/>
    <w:rsid w:val="00797828"/>
    <w:rsid w:val="007A4ADD"/>
    <w:rsid w:val="007D3F2B"/>
    <w:rsid w:val="007D46F5"/>
    <w:rsid w:val="007D5474"/>
    <w:rsid w:val="007E038E"/>
    <w:rsid w:val="007E3BBD"/>
    <w:rsid w:val="007E502C"/>
    <w:rsid w:val="007E5459"/>
    <w:rsid w:val="007E62E5"/>
    <w:rsid w:val="00801C96"/>
    <w:rsid w:val="00807B73"/>
    <w:rsid w:val="00824FE0"/>
    <w:rsid w:val="00834760"/>
    <w:rsid w:val="00847FDB"/>
    <w:rsid w:val="008555A2"/>
    <w:rsid w:val="00865BF0"/>
    <w:rsid w:val="0087096D"/>
    <w:rsid w:val="00881F40"/>
    <w:rsid w:val="00895EDD"/>
    <w:rsid w:val="008A0688"/>
    <w:rsid w:val="008A4705"/>
    <w:rsid w:val="008B46E7"/>
    <w:rsid w:val="008C005F"/>
    <w:rsid w:val="008C5DBA"/>
    <w:rsid w:val="008D1D7D"/>
    <w:rsid w:val="008E6B96"/>
    <w:rsid w:val="008F2D7E"/>
    <w:rsid w:val="008F4B3C"/>
    <w:rsid w:val="008F4C9D"/>
    <w:rsid w:val="00901CB4"/>
    <w:rsid w:val="00926ECE"/>
    <w:rsid w:val="00934336"/>
    <w:rsid w:val="009422C0"/>
    <w:rsid w:val="00970DB8"/>
    <w:rsid w:val="009761A3"/>
    <w:rsid w:val="009778B5"/>
    <w:rsid w:val="00984FD9"/>
    <w:rsid w:val="00987BBA"/>
    <w:rsid w:val="00996076"/>
    <w:rsid w:val="009A179D"/>
    <w:rsid w:val="009C3CD7"/>
    <w:rsid w:val="009D346F"/>
    <w:rsid w:val="009E1278"/>
    <w:rsid w:val="009E624C"/>
    <w:rsid w:val="009F1EC3"/>
    <w:rsid w:val="00A02EC6"/>
    <w:rsid w:val="00A06E53"/>
    <w:rsid w:val="00A1660B"/>
    <w:rsid w:val="00A31898"/>
    <w:rsid w:val="00A31D19"/>
    <w:rsid w:val="00A34962"/>
    <w:rsid w:val="00A40895"/>
    <w:rsid w:val="00A43398"/>
    <w:rsid w:val="00A44857"/>
    <w:rsid w:val="00A5547A"/>
    <w:rsid w:val="00A62041"/>
    <w:rsid w:val="00A63B01"/>
    <w:rsid w:val="00A648BA"/>
    <w:rsid w:val="00A66677"/>
    <w:rsid w:val="00A7105B"/>
    <w:rsid w:val="00A7455B"/>
    <w:rsid w:val="00A75DD3"/>
    <w:rsid w:val="00A82F02"/>
    <w:rsid w:val="00AB3EF4"/>
    <w:rsid w:val="00AC11B2"/>
    <w:rsid w:val="00AD4EBA"/>
    <w:rsid w:val="00AF224E"/>
    <w:rsid w:val="00AF6F73"/>
    <w:rsid w:val="00B048F0"/>
    <w:rsid w:val="00B14E63"/>
    <w:rsid w:val="00B239B6"/>
    <w:rsid w:val="00B40DB3"/>
    <w:rsid w:val="00B466AA"/>
    <w:rsid w:val="00B62F12"/>
    <w:rsid w:val="00B63496"/>
    <w:rsid w:val="00B81089"/>
    <w:rsid w:val="00B8648A"/>
    <w:rsid w:val="00BD1819"/>
    <w:rsid w:val="00BD7931"/>
    <w:rsid w:val="00BE677A"/>
    <w:rsid w:val="00C21D02"/>
    <w:rsid w:val="00C25E88"/>
    <w:rsid w:val="00C35AE1"/>
    <w:rsid w:val="00C66709"/>
    <w:rsid w:val="00C71C69"/>
    <w:rsid w:val="00C80024"/>
    <w:rsid w:val="00C95930"/>
    <w:rsid w:val="00CB46EF"/>
    <w:rsid w:val="00CB54A7"/>
    <w:rsid w:val="00CD2B60"/>
    <w:rsid w:val="00CF2DA9"/>
    <w:rsid w:val="00CF491C"/>
    <w:rsid w:val="00D07830"/>
    <w:rsid w:val="00D15E31"/>
    <w:rsid w:val="00D22296"/>
    <w:rsid w:val="00D476C0"/>
    <w:rsid w:val="00D57A69"/>
    <w:rsid w:val="00D70EB7"/>
    <w:rsid w:val="00D7279B"/>
    <w:rsid w:val="00D81871"/>
    <w:rsid w:val="00D9580A"/>
    <w:rsid w:val="00DA2131"/>
    <w:rsid w:val="00DA365D"/>
    <w:rsid w:val="00DB04E5"/>
    <w:rsid w:val="00DC0EB4"/>
    <w:rsid w:val="00DD348E"/>
    <w:rsid w:val="00DD78B0"/>
    <w:rsid w:val="00DE66BC"/>
    <w:rsid w:val="00DF14FC"/>
    <w:rsid w:val="00E008C2"/>
    <w:rsid w:val="00E12715"/>
    <w:rsid w:val="00E24223"/>
    <w:rsid w:val="00E56A15"/>
    <w:rsid w:val="00E72D09"/>
    <w:rsid w:val="00E731B0"/>
    <w:rsid w:val="00E750CA"/>
    <w:rsid w:val="00E80793"/>
    <w:rsid w:val="00E81348"/>
    <w:rsid w:val="00E82D87"/>
    <w:rsid w:val="00E96285"/>
    <w:rsid w:val="00EB256C"/>
    <w:rsid w:val="00EB37C1"/>
    <w:rsid w:val="00EB7236"/>
    <w:rsid w:val="00ED2DB2"/>
    <w:rsid w:val="00EE3F62"/>
    <w:rsid w:val="00EE5338"/>
    <w:rsid w:val="00F03325"/>
    <w:rsid w:val="00F04028"/>
    <w:rsid w:val="00F10B47"/>
    <w:rsid w:val="00F37DD9"/>
    <w:rsid w:val="00F524C7"/>
    <w:rsid w:val="00F5485B"/>
    <w:rsid w:val="00F737AF"/>
    <w:rsid w:val="00F8011D"/>
    <w:rsid w:val="00F85591"/>
    <w:rsid w:val="00F93752"/>
    <w:rsid w:val="00FB028C"/>
    <w:rsid w:val="00FC619A"/>
    <w:rsid w:val="00FE4427"/>
    <w:rsid w:val="00FE5E78"/>
    <w:rsid w:val="00FF64F1"/>
    <w:rsid w:val="01181797"/>
    <w:rsid w:val="01645940"/>
    <w:rsid w:val="03C660F1"/>
    <w:rsid w:val="03D938B1"/>
    <w:rsid w:val="042B4352"/>
    <w:rsid w:val="06DD5138"/>
    <w:rsid w:val="070D4FEC"/>
    <w:rsid w:val="09034D82"/>
    <w:rsid w:val="0DEB1663"/>
    <w:rsid w:val="0EE02FCE"/>
    <w:rsid w:val="11D14067"/>
    <w:rsid w:val="13063021"/>
    <w:rsid w:val="13C609E5"/>
    <w:rsid w:val="14F304E4"/>
    <w:rsid w:val="18F87DA0"/>
    <w:rsid w:val="1B002515"/>
    <w:rsid w:val="1BA50EE0"/>
    <w:rsid w:val="1CBF4C66"/>
    <w:rsid w:val="20485E60"/>
    <w:rsid w:val="21032E75"/>
    <w:rsid w:val="2449572C"/>
    <w:rsid w:val="2636356A"/>
    <w:rsid w:val="28577A06"/>
    <w:rsid w:val="28711C0A"/>
    <w:rsid w:val="289B411C"/>
    <w:rsid w:val="2AE845D1"/>
    <w:rsid w:val="30FD39D4"/>
    <w:rsid w:val="31D54FC0"/>
    <w:rsid w:val="32BE65B2"/>
    <w:rsid w:val="340A4177"/>
    <w:rsid w:val="344C5650"/>
    <w:rsid w:val="358D1218"/>
    <w:rsid w:val="35DF71BD"/>
    <w:rsid w:val="360509BD"/>
    <w:rsid w:val="37020372"/>
    <w:rsid w:val="37360FC5"/>
    <w:rsid w:val="390B472B"/>
    <w:rsid w:val="3B080524"/>
    <w:rsid w:val="3CF3323B"/>
    <w:rsid w:val="3D1F4DE0"/>
    <w:rsid w:val="408C5853"/>
    <w:rsid w:val="409C1E6C"/>
    <w:rsid w:val="41CD1445"/>
    <w:rsid w:val="426251E6"/>
    <w:rsid w:val="441134C0"/>
    <w:rsid w:val="441E6300"/>
    <w:rsid w:val="4A9D49B9"/>
    <w:rsid w:val="4C425479"/>
    <w:rsid w:val="4C4332EC"/>
    <w:rsid w:val="4E992DD9"/>
    <w:rsid w:val="506535B7"/>
    <w:rsid w:val="50C37060"/>
    <w:rsid w:val="533F163E"/>
    <w:rsid w:val="55F834F4"/>
    <w:rsid w:val="5690025B"/>
    <w:rsid w:val="5AB32FF2"/>
    <w:rsid w:val="5CD42C71"/>
    <w:rsid w:val="611B0B6F"/>
    <w:rsid w:val="61D35D9F"/>
    <w:rsid w:val="63BF54E2"/>
    <w:rsid w:val="647562B8"/>
    <w:rsid w:val="65091475"/>
    <w:rsid w:val="65A17FA7"/>
    <w:rsid w:val="666D63A3"/>
    <w:rsid w:val="69312D5B"/>
    <w:rsid w:val="6ABB68E5"/>
    <w:rsid w:val="6C693CB4"/>
    <w:rsid w:val="70493BA2"/>
    <w:rsid w:val="72A63685"/>
    <w:rsid w:val="74AD3F2D"/>
    <w:rsid w:val="75BB1238"/>
    <w:rsid w:val="77753743"/>
    <w:rsid w:val="789E7920"/>
    <w:rsid w:val="79FB4ADC"/>
    <w:rsid w:val="7BF34CA6"/>
    <w:rsid w:val="7C8208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nhideWhenUsed="0" w:uiPriority="0" w:semiHidden="0" w:name="Body Text First Indent"/>
    <w:lsdException w:uiPriority="99" w:name="Body Text First Indent 2"/>
    <w:lsdException w:uiPriority="99" w:name="Note Heading"/>
    <w:lsdException w:unhideWhenUsed="0" w:uiPriority="0" w:semiHidden="0"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560" w:lineRule="exact"/>
      <w:ind w:firstLine="1044" w:firstLineChars="200"/>
      <w:jc w:val="both"/>
    </w:pPr>
    <w:rPr>
      <w:rFonts w:ascii="仿宋" w:hAnsi="仿宋" w:eastAsia="仿宋" w:cstheme="minorBidi"/>
      <w:kern w:val="2"/>
      <w:sz w:val="32"/>
      <w:szCs w:val="32"/>
      <w:lang w:val="en-US" w:eastAsia="zh-CN" w:bidi="ar-SA"/>
    </w:rPr>
  </w:style>
  <w:style w:type="paragraph" w:styleId="2">
    <w:name w:val="heading 1"/>
    <w:basedOn w:val="1"/>
    <w:next w:val="1"/>
    <w:link w:val="20"/>
    <w:qFormat/>
    <w:uiPriority w:val="9"/>
    <w:pPr>
      <w:keepNext/>
      <w:keepLines/>
      <w:ind w:firstLine="0" w:firstLineChars="0"/>
      <w:jc w:val="left"/>
      <w:outlineLvl w:val="0"/>
    </w:pPr>
    <w:rPr>
      <w:rFonts w:ascii="黑体" w:hAnsi="黑体" w:eastAsia="黑体"/>
      <w:b/>
      <w:bCs/>
      <w:kern w:val="44"/>
    </w:rPr>
  </w:style>
  <w:style w:type="paragraph" w:styleId="3">
    <w:name w:val="heading 2"/>
    <w:basedOn w:val="1"/>
    <w:next w:val="4"/>
    <w:link w:val="18"/>
    <w:unhideWhenUsed/>
    <w:qFormat/>
    <w:uiPriority w:val="9"/>
    <w:pPr>
      <w:keepNext/>
      <w:keepLines/>
      <w:ind w:firstLine="0" w:firstLineChars="0"/>
      <w:jc w:val="left"/>
      <w:outlineLvl w:val="1"/>
    </w:pPr>
    <w:rPr>
      <w:rFonts w:ascii="楷体" w:hAnsi="楷体" w:eastAsia="楷体" w:cstheme="majorBidi"/>
      <w:b/>
      <w:bCs/>
    </w:rPr>
  </w:style>
  <w:style w:type="paragraph" w:styleId="4">
    <w:name w:val="heading 3"/>
    <w:basedOn w:val="1"/>
    <w:next w:val="1"/>
    <w:link w:val="21"/>
    <w:unhideWhenUsed/>
    <w:qFormat/>
    <w:uiPriority w:val="9"/>
    <w:pPr>
      <w:keepNext/>
      <w:keepLines/>
      <w:ind w:firstLine="200"/>
      <w:jc w:val="left"/>
      <w:outlineLvl w:val="2"/>
    </w:pPr>
    <w:rPr>
      <w:rFonts w:ascii="宋体" w:hAnsi="宋体"/>
      <w:b/>
      <w:bCs/>
    </w:rPr>
  </w:style>
  <w:style w:type="paragraph" w:styleId="5">
    <w:name w:val="heading 4"/>
    <w:basedOn w:val="1"/>
    <w:next w:val="1"/>
    <w:link w:val="22"/>
    <w:semiHidden/>
    <w:unhideWhenUsed/>
    <w:qFormat/>
    <w:uiPriority w:val="9"/>
    <w:pPr>
      <w:keepNext/>
      <w:keepLines/>
      <w:spacing w:before="280" w:after="290" w:line="376" w:lineRule="auto"/>
      <w:outlineLvl w:val="3"/>
    </w:pPr>
    <w:rPr>
      <w:rFonts w:asciiTheme="majorHAnsi" w:hAnsiTheme="majorHAnsi" w:eastAsiaTheme="majorEastAsia" w:cstheme="majorBidi"/>
      <w:b/>
      <w:bCs/>
      <w:szCs w:val="28"/>
    </w:rPr>
  </w:style>
  <w:style w:type="character" w:default="1" w:styleId="15">
    <w:name w:val="Default Paragraph Font"/>
    <w:semiHidden/>
    <w:unhideWhenUsed/>
    <w:uiPriority w:val="1"/>
  </w:style>
  <w:style w:type="table" w:default="1" w:styleId="13">
    <w:name w:val="Normal Table"/>
    <w:semiHidden/>
    <w:unhideWhenUsed/>
    <w:uiPriority w:val="99"/>
    <w:tblPr>
      <w:tblCellMar>
        <w:top w:w="0" w:type="dxa"/>
        <w:left w:w="108" w:type="dxa"/>
        <w:bottom w:w="0" w:type="dxa"/>
        <w:right w:w="108" w:type="dxa"/>
      </w:tblCellMar>
    </w:tblPr>
  </w:style>
  <w:style w:type="paragraph" w:styleId="6">
    <w:name w:val="annotation text"/>
    <w:basedOn w:val="1"/>
    <w:qFormat/>
    <w:uiPriority w:val="0"/>
    <w:pPr>
      <w:jc w:val="left"/>
    </w:pPr>
  </w:style>
  <w:style w:type="paragraph" w:styleId="7">
    <w:name w:val="toc 3"/>
    <w:basedOn w:val="1"/>
    <w:next w:val="1"/>
    <w:unhideWhenUsed/>
    <w:qFormat/>
    <w:uiPriority w:val="39"/>
    <w:pPr>
      <w:ind w:left="840" w:leftChars="400"/>
    </w:pPr>
  </w:style>
  <w:style w:type="paragraph" w:styleId="8">
    <w:name w:val="footer"/>
    <w:basedOn w:val="1"/>
    <w:link w:val="19"/>
    <w:unhideWhenUsed/>
    <w:qFormat/>
    <w:uiPriority w:val="99"/>
    <w:pPr>
      <w:tabs>
        <w:tab w:val="center" w:pos="4153"/>
        <w:tab w:val="right" w:pos="8306"/>
      </w:tabs>
      <w:spacing w:line="240" w:lineRule="auto"/>
      <w:ind w:firstLine="0" w:firstLineChars="0"/>
      <w:jc w:val="left"/>
    </w:pPr>
    <w:rPr>
      <w:sz w:val="28"/>
      <w:szCs w:val="2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pacing w:line="240" w:lineRule="auto"/>
    </w:pPr>
    <w:rPr>
      <w:sz w:val="18"/>
    </w:rPr>
  </w:style>
  <w:style w:type="paragraph" w:styleId="10">
    <w:name w:val="toc 1"/>
    <w:basedOn w:val="1"/>
    <w:next w:val="1"/>
    <w:unhideWhenUsed/>
    <w:qFormat/>
    <w:uiPriority w:val="39"/>
    <w:pPr>
      <w:tabs>
        <w:tab w:val="right" w:leader="dot" w:pos="8296"/>
      </w:tabs>
      <w:ind w:firstLine="0" w:firstLineChars="0"/>
      <w:jc w:val="center"/>
    </w:pPr>
    <w:rPr>
      <w:b/>
    </w:rPr>
  </w:style>
  <w:style w:type="paragraph" w:styleId="11">
    <w:name w:val="toc 2"/>
    <w:basedOn w:val="1"/>
    <w:next w:val="1"/>
    <w:unhideWhenUsed/>
    <w:qFormat/>
    <w:uiPriority w:val="39"/>
    <w:pPr>
      <w:ind w:left="420" w:leftChars="200" w:firstLine="0" w:firstLineChars="0"/>
    </w:pPr>
  </w:style>
  <w:style w:type="paragraph" w:styleId="12">
    <w:name w:val="Normal (Web)"/>
    <w:basedOn w:val="1"/>
    <w:semiHidden/>
    <w:unhideWhenUsed/>
    <w:qFormat/>
    <w:uiPriority w:val="99"/>
    <w:pPr>
      <w:spacing w:beforeAutospacing="1" w:afterAutospacing="1"/>
      <w:jc w:val="left"/>
    </w:pPr>
    <w:rPr>
      <w:rFonts w:cs="Times New Roman"/>
      <w:kern w:val="0"/>
      <w:sz w:val="24"/>
    </w:r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6">
    <w:name w:val="表格"/>
    <w:basedOn w:val="1"/>
    <w:next w:val="1"/>
    <w:qFormat/>
    <w:uiPriority w:val="0"/>
    <w:pPr>
      <w:spacing w:line="240" w:lineRule="auto"/>
      <w:ind w:firstLine="0" w:firstLineChars="0"/>
      <w:jc w:val="center"/>
    </w:pPr>
    <w:rPr>
      <w:rFonts w:ascii="Times New Roman" w:hAnsi="Times New Roman"/>
      <w:sz w:val="24"/>
      <w:szCs w:val="24"/>
    </w:rPr>
  </w:style>
  <w:style w:type="paragraph" w:customStyle="1" w:styleId="17">
    <w:name w:val="表头"/>
    <w:basedOn w:val="1"/>
    <w:next w:val="1"/>
    <w:qFormat/>
    <w:uiPriority w:val="0"/>
    <w:pPr>
      <w:spacing w:before="100" w:after="100"/>
      <w:jc w:val="center"/>
    </w:pPr>
    <w:rPr>
      <w:rFonts w:ascii="Times New Roman" w:hAnsi="Times New Roman"/>
      <w:b/>
      <w:bCs/>
      <w:szCs w:val="28"/>
    </w:rPr>
  </w:style>
  <w:style w:type="character" w:customStyle="1" w:styleId="18">
    <w:name w:val="标题 2 字符"/>
    <w:basedOn w:val="15"/>
    <w:link w:val="3"/>
    <w:qFormat/>
    <w:uiPriority w:val="9"/>
    <w:rPr>
      <w:rFonts w:ascii="楷体" w:hAnsi="楷体" w:eastAsia="楷体" w:cstheme="majorBidi"/>
      <w:b/>
      <w:bCs/>
      <w:kern w:val="2"/>
      <w:sz w:val="32"/>
      <w:szCs w:val="32"/>
    </w:rPr>
  </w:style>
  <w:style w:type="character" w:customStyle="1" w:styleId="19">
    <w:name w:val="页脚 字符"/>
    <w:basedOn w:val="15"/>
    <w:link w:val="8"/>
    <w:qFormat/>
    <w:uiPriority w:val="99"/>
    <w:rPr>
      <w:rFonts w:eastAsia="仿宋"/>
      <w:sz w:val="28"/>
      <w:szCs w:val="28"/>
    </w:rPr>
  </w:style>
  <w:style w:type="character" w:customStyle="1" w:styleId="20">
    <w:name w:val="标题 1 字符"/>
    <w:basedOn w:val="15"/>
    <w:link w:val="2"/>
    <w:qFormat/>
    <w:uiPriority w:val="9"/>
    <w:rPr>
      <w:rFonts w:ascii="黑体" w:hAnsi="黑体" w:eastAsia="黑体"/>
      <w:b/>
      <w:bCs/>
      <w:kern w:val="44"/>
      <w:sz w:val="32"/>
      <w:szCs w:val="32"/>
    </w:rPr>
  </w:style>
  <w:style w:type="character" w:customStyle="1" w:styleId="21">
    <w:name w:val="标题 3 字符"/>
    <w:basedOn w:val="15"/>
    <w:link w:val="4"/>
    <w:qFormat/>
    <w:uiPriority w:val="9"/>
    <w:rPr>
      <w:rFonts w:ascii="宋体" w:hAnsi="宋体" w:eastAsia="仿宋"/>
      <w:b/>
      <w:bCs/>
      <w:kern w:val="2"/>
      <w:sz w:val="32"/>
      <w:szCs w:val="32"/>
    </w:rPr>
  </w:style>
  <w:style w:type="character" w:customStyle="1" w:styleId="22">
    <w:name w:val="标题 4 字符"/>
    <w:basedOn w:val="15"/>
    <w:link w:val="5"/>
    <w:semiHidden/>
    <w:qFormat/>
    <w:uiPriority w:val="9"/>
    <w:rPr>
      <w:rFonts w:asciiTheme="majorHAnsi" w:hAnsiTheme="majorHAnsi" w:eastAsiaTheme="majorEastAsia" w:cstheme="majorBidi"/>
      <w:b/>
      <w:bCs/>
      <w:kern w:val="2"/>
      <w:sz w:val="28"/>
      <w:szCs w:val="28"/>
    </w:rPr>
  </w:style>
  <w:style w:type="paragraph" w:customStyle="1" w:styleId="23">
    <w:name w:val="本模板"/>
    <w:basedOn w:val="1"/>
    <w:next w:val="1"/>
    <w:qFormat/>
    <w:uiPriority w:val="0"/>
    <w:pPr>
      <w:ind w:firstLine="0" w:firstLineChars="0"/>
      <w:jc w:val="center"/>
    </w:pPr>
  </w:style>
  <w:style w:type="paragraph" w:customStyle="1" w:styleId="24">
    <w:name w:val="由"/>
    <w:basedOn w:val="1"/>
    <w:qFormat/>
    <w:uiPriority w:val="0"/>
    <w:pPr>
      <w:ind w:firstLine="0" w:firstLineChars="0"/>
      <w:jc w:val="center"/>
    </w:pPr>
  </w:style>
  <w:style w:type="paragraph" w:customStyle="1" w:styleId="25">
    <w:name w:val="昭元绩效"/>
    <w:basedOn w:val="1"/>
    <w:qFormat/>
    <w:uiPriority w:val="0"/>
    <w:pPr>
      <w:spacing w:line="360" w:lineRule="auto"/>
      <w:ind w:firstLine="0" w:firstLineChars="0"/>
      <w:jc w:val="center"/>
    </w:pPr>
    <w:rPr>
      <w:rFonts w:eastAsia="宋体"/>
      <w:b/>
      <w:bCs/>
      <w:sz w:val="44"/>
      <w:szCs w:val="44"/>
    </w:rPr>
  </w:style>
  <w:style w:type="paragraph" w:customStyle="1" w:styleId="26">
    <w:name w:val="提供"/>
    <w:basedOn w:val="1"/>
    <w:qFormat/>
    <w:uiPriority w:val="0"/>
    <w:pPr>
      <w:ind w:firstLine="0" w:firstLineChars="0"/>
      <w:jc w:val="center"/>
    </w:pPr>
  </w:style>
  <w:style w:type="paragraph" w:customStyle="1" w:styleId="27">
    <w:name w:val="版权所有"/>
    <w:basedOn w:val="1"/>
    <w:qFormat/>
    <w:uiPriority w:val="0"/>
    <w:pPr>
      <w:ind w:firstLine="0" w:firstLineChars="0"/>
      <w:jc w:val="center"/>
    </w:pPr>
  </w:style>
  <w:style w:type="paragraph" w:customStyle="1" w:styleId="28">
    <w:name w:val="电话15515993457"/>
    <w:basedOn w:val="1"/>
    <w:qFormat/>
    <w:uiPriority w:val="0"/>
    <w:pPr>
      <w:ind w:firstLine="0" w:firstLineChars="0"/>
      <w:jc w:val="center"/>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microsoft.com/office/2006/relationships/keyMapCustomizations" Target="customizations.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099D5DC-E1BF-468F-8212-19D77A8739EF}">
  <ds:schemaRefs/>
</ds:datastoreItem>
</file>

<file path=docProps/app.xml><?xml version="1.0" encoding="utf-8"?>
<Properties xmlns="http://schemas.openxmlformats.org/officeDocument/2006/extended-properties" xmlns:vt="http://schemas.openxmlformats.org/officeDocument/2006/docPropsVTypes">
  <Template>Normal.dotm</Template>
  <Manager>郭良雨</Manager>
  <Company>昭元绩效</Company>
  <Pages>10</Pages>
  <Words>3064</Words>
  <Characters>3206</Characters>
  <Lines>32</Lines>
  <Paragraphs>9</Paragraphs>
  <TotalTime>36</TotalTime>
  <ScaleCrop>false</ScaleCrop>
  <LinksUpToDate>false</LinksUpToDate>
  <CharactersWithSpaces>3247</CharactersWithSpaces>
  <Application>WPS Office_11.1.0.12353_F1E327BC-269C-435d-A152-05C5408002CA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15515993457</cp:category>
  <dcterms:created xsi:type="dcterms:W3CDTF">2021-08-08T08:37:00Z</dcterms:created>
  <dc:creator>hnzyzd@163.com; 昭元绩效</dc:creator>
  <dc:description>昭元自评模板</dc:description>
  <cp:keywords>15515993457</cp:keywords>
  <cp:lastModifiedBy>若如初见</cp:lastModifiedBy>
  <cp:lastPrinted>2022-08-29T03:38:35Z</cp:lastPrinted>
  <dcterms:modified xsi:type="dcterms:W3CDTF">2022-08-29T03:40:50Z</dcterms:modified>
  <dc:subject>15515993457</dc:subject>
  <dc:title>昭元自评模板</dc:title>
  <cp:revision>94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2052-11.1.0.12353</vt:lpwstr>
  </property>
  <property fmtid="{D5CDD505-2E9C-101B-9397-08002B2CF9AE}" pid="3" name="ICV">
    <vt:lpwstr>091A83CA35314AFC99D8597BA1BF0CF6</vt:lpwstr>
  </property>
</Properties>
</file>