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570" w:leftChars="0" w:hanging="2570" w:hangingChars="800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太康县中心城区G-14、G-07-01街坊控规图则调整论证及方案</w:t>
      </w:r>
      <w:r>
        <w:rPr>
          <w:rFonts w:hint="eastAsia"/>
          <w:b/>
          <w:bCs/>
          <w:sz w:val="32"/>
          <w:szCs w:val="32"/>
          <w:lang w:eastAsia="zh-CN"/>
        </w:rPr>
        <w:t>》公示稿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一、调整范围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本次调整街坊</w:t>
      </w:r>
      <w:r>
        <w:rPr>
          <w:rFonts w:hint="default"/>
          <w:sz w:val="28"/>
          <w:szCs w:val="28"/>
          <w:highlight w:val="none"/>
          <w:lang w:val="en-US" w:eastAsia="zh-CN"/>
        </w:rPr>
        <w:t>位于太康县</w:t>
      </w:r>
      <w:r>
        <w:rPr>
          <w:rFonts w:hint="eastAsia"/>
          <w:sz w:val="28"/>
          <w:szCs w:val="28"/>
          <w:highlight w:val="none"/>
          <w:lang w:val="en-US" w:eastAsia="zh-CN"/>
        </w:rPr>
        <w:t>中心城区内</w:t>
      </w:r>
      <w:r>
        <w:rPr>
          <w:rFonts w:hint="default"/>
          <w:sz w:val="28"/>
          <w:szCs w:val="28"/>
          <w:highlight w:val="none"/>
          <w:lang w:val="en-US" w:eastAsia="zh-CN"/>
        </w:rPr>
        <w:t>，</w:t>
      </w:r>
      <w:r>
        <w:rPr>
          <w:rFonts w:hint="eastAsia"/>
          <w:sz w:val="28"/>
          <w:szCs w:val="28"/>
          <w:highlight w:val="none"/>
          <w:lang w:val="en-US" w:eastAsia="zh-CN"/>
        </w:rPr>
        <w:t>杨邵路、黄河路（纬二路）、丁庄东路、商贸南路所围合的区域。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二、调整的主要内容</w:t>
      </w:r>
    </w:p>
    <w:p>
      <w:pPr>
        <w:bidi w:val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本次调整将G-14-01地块、G-07-01地块</w:t>
      </w:r>
      <w:r>
        <w:rPr>
          <w:rFonts w:hint="eastAsia"/>
          <w:sz w:val="28"/>
          <w:szCs w:val="28"/>
          <w:highlight w:val="none"/>
          <w:lang w:val="en-US" w:eastAsia="zh-CN"/>
        </w:rPr>
        <w:t>用地性质调整为二类城镇住宅用地；保持G-14-02地块公园绿地不变。</w:t>
      </w:r>
    </w:p>
    <w:p>
      <w:pPr>
        <w:bidi w:val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1、原控规要求：</w:t>
      </w:r>
    </w:p>
    <w:p>
      <w:pPr>
        <w:bidi w:val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G-07-01</w:t>
      </w:r>
      <w:r>
        <w:rPr>
          <w:rFonts w:hint="eastAsia"/>
          <w:sz w:val="28"/>
          <w:szCs w:val="28"/>
          <w:lang w:val="en-US" w:eastAsia="zh-CN"/>
        </w:rPr>
        <w:t>为商务金融用地（0902），面积为25727.15m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，容积率为</w:t>
      </w:r>
      <w:r>
        <w:rPr>
          <w:rFonts w:hint="eastAsia"/>
          <w:sz w:val="28"/>
          <w:szCs w:val="28"/>
          <w:lang w:eastAsia="zh-CN"/>
        </w:rPr>
        <w:t>≤</w:t>
      </w:r>
      <w:r>
        <w:rPr>
          <w:rFonts w:hint="eastAsia"/>
          <w:sz w:val="28"/>
          <w:szCs w:val="28"/>
          <w:lang w:val="en-US" w:eastAsia="zh-CN"/>
        </w:rPr>
        <w:t>3.0，建筑密度为</w:t>
      </w:r>
      <w:r>
        <w:rPr>
          <w:rFonts w:hint="eastAsia"/>
          <w:sz w:val="28"/>
          <w:szCs w:val="28"/>
          <w:lang w:eastAsia="zh-CN"/>
        </w:rPr>
        <w:t>≤</w:t>
      </w:r>
      <w:r>
        <w:rPr>
          <w:rFonts w:hint="eastAsia"/>
          <w:sz w:val="28"/>
          <w:szCs w:val="28"/>
          <w:lang w:val="en-US" w:eastAsia="zh-CN"/>
        </w:rPr>
        <w:t>70%</w:t>
      </w:r>
      <w:r>
        <w:rPr>
          <w:rFonts w:hint="eastAsia"/>
          <w:sz w:val="28"/>
          <w:szCs w:val="28"/>
        </w:rPr>
        <w:t>，建筑限高为≤</w:t>
      </w:r>
      <w:r>
        <w:rPr>
          <w:rFonts w:hint="eastAsia"/>
          <w:sz w:val="28"/>
          <w:szCs w:val="28"/>
          <w:lang w:val="en-US" w:eastAsia="zh-CN"/>
        </w:rPr>
        <w:t>99m，</w:t>
      </w:r>
      <w:r>
        <w:rPr>
          <w:rFonts w:hint="eastAsia"/>
          <w:sz w:val="28"/>
          <w:szCs w:val="28"/>
        </w:rPr>
        <w:t>绿地率为</w:t>
      </w:r>
      <w:r>
        <w:rPr>
          <w:rFonts w:hint="eastAsia"/>
          <w:sz w:val="28"/>
          <w:szCs w:val="28"/>
          <w:lang w:val="en-US" w:eastAsia="zh-CN"/>
        </w:rPr>
        <w:t>≥10</w:t>
      </w:r>
      <w:r>
        <w:rPr>
          <w:rFonts w:hint="eastAsia"/>
          <w:sz w:val="28"/>
          <w:szCs w:val="28"/>
          <w:lang w:eastAsia="zh-CN"/>
        </w:rPr>
        <w:t>%，地块出入口位置</w:t>
      </w:r>
      <w:r>
        <w:rPr>
          <w:rFonts w:hint="eastAsia"/>
          <w:sz w:val="28"/>
          <w:szCs w:val="28"/>
          <w:lang w:val="en-US" w:eastAsia="zh-CN"/>
        </w:rPr>
        <w:t>东侧、北侧、南侧，用地兼容性兼容商业用地（0901）。</w:t>
      </w:r>
    </w:p>
    <w:p>
      <w:pPr>
        <w:bidi w:val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G-14-01</w:t>
      </w:r>
      <w:r>
        <w:rPr>
          <w:rFonts w:hint="eastAsia"/>
          <w:sz w:val="28"/>
          <w:szCs w:val="28"/>
          <w:lang w:val="en-US" w:eastAsia="zh-CN"/>
        </w:rPr>
        <w:t>为商业用地（0901），面积为37187.67m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，容积率为</w:t>
      </w:r>
      <w:r>
        <w:rPr>
          <w:rFonts w:hint="eastAsia"/>
          <w:sz w:val="28"/>
          <w:szCs w:val="28"/>
          <w:lang w:eastAsia="zh-CN"/>
        </w:rPr>
        <w:t>≤</w:t>
      </w:r>
      <w:r>
        <w:rPr>
          <w:rFonts w:hint="eastAsia"/>
          <w:sz w:val="28"/>
          <w:szCs w:val="28"/>
          <w:lang w:val="en-US" w:eastAsia="zh-CN"/>
        </w:rPr>
        <w:t>3.0，建筑密度为</w:t>
      </w:r>
      <w:r>
        <w:rPr>
          <w:rFonts w:hint="eastAsia"/>
          <w:sz w:val="28"/>
          <w:szCs w:val="28"/>
          <w:lang w:eastAsia="zh-CN"/>
        </w:rPr>
        <w:t>≤</w:t>
      </w:r>
      <w:r>
        <w:rPr>
          <w:rFonts w:hint="eastAsia"/>
          <w:sz w:val="28"/>
          <w:szCs w:val="28"/>
          <w:lang w:val="en-US" w:eastAsia="zh-CN"/>
        </w:rPr>
        <w:t>70%</w:t>
      </w:r>
      <w:r>
        <w:rPr>
          <w:rFonts w:hint="eastAsia"/>
          <w:sz w:val="28"/>
          <w:szCs w:val="28"/>
        </w:rPr>
        <w:t>，建筑限高为≤</w:t>
      </w:r>
      <w:r>
        <w:rPr>
          <w:rFonts w:hint="eastAsia"/>
          <w:sz w:val="28"/>
          <w:szCs w:val="28"/>
          <w:lang w:val="en-US" w:eastAsia="zh-CN"/>
        </w:rPr>
        <w:t>99m，</w:t>
      </w:r>
      <w:r>
        <w:rPr>
          <w:rFonts w:hint="eastAsia"/>
          <w:sz w:val="28"/>
          <w:szCs w:val="28"/>
        </w:rPr>
        <w:t>绿地率为</w:t>
      </w:r>
      <w:r>
        <w:rPr>
          <w:rFonts w:hint="eastAsia"/>
          <w:sz w:val="28"/>
          <w:szCs w:val="28"/>
          <w:lang w:val="en-US" w:eastAsia="zh-CN"/>
        </w:rPr>
        <w:t>≥10</w:t>
      </w:r>
      <w:r>
        <w:rPr>
          <w:rFonts w:hint="eastAsia"/>
          <w:sz w:val="28"/>
          <w:szCs w:val="28"/>
          <w:lang w:eastAsia="zh-CN"/>
        </w:rPr>
        <w:t>%，地块出入口位置</w:t>
      </w:r>
      <w:r>
        <w:rPr>
          <w:rFonts w:hint="eastAsia"/>
          <w:sz w:val="28"/>
          <w:szCs w:val="28"/>
          <w:lang w:val="en-US" w:eastAsia="zh-CN"/>
        </w:rPr>
        <w:t>东侧、西侧、北侧，用地兼容性兼容商务金融用地（0902）。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2、调整后要求</w:t>
      </w:r>
    </w:p>
    <w:p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G-07-01</w:t>
      </w:r>
      <w:r>
        <w:rPr>
          <w:rFonts w:hint="eastAsia"/>
          <w:sz w:val="28"/>
          <w:szCs w:val="28"/>
          <w:lang w:val="en-US" w:eastAsia="zh-CN"/>
        </w:rPr>
        <w:t>为二类城镇住宅用地（070102），面积为25727.15m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  <w:highlight w:val="none"/>
          <w:lang w:val="en-US" w:eastAsia="zh-CN"/>
        </w:rPr>
        <w:t>容积率≤2.2，</w:t>
      </w:r>
      <w:r>
        <w:rPr>
          <w:rFonts w:hint="eastAsia"/>
          <w:sz w:val="28"/>
          <w:szCs w:val="28"/>
          <w:lang w:val="en-US" w:eastAsia="zh-CN"/>
        </w:rPr>
        <w:t>建筑密度为≤28%</w:t>
      </w:r>
      <w:r>
        <w:rPr>
          <w:rFonts w:hint="eastAsia"/>
          <w:sz w:val="28"/>
          <w:szCs w:val="28"/>
        </w:rPr>
        <w:t>，建筑限高为≤</w:t>
      </w:r>
      <w:r>
        <w:rPr>
          <w:rFonts w:hint="eastAsia"/>
          <w:sz w:val="28"/>
          <w:szCs w:val="28"/>
          <w:lang w:val="en-US" w:eastAsia="zh-CN"/>
        </w:rPr>
        <w:t>54m，</w:t>
      </w:r>
      <w:r>
        <w:rPr>
          <w:rFonts w:hint="eastAsia"/>
          <w:sz w:val="28"/>
          <w:szCs w:val="28"/>
        </w:rPr>
        <w:t>绿地率为</w:t>
      </w:r>
      <w:r>
        <w:rPr>
          <w:rFonts w:hint="eastAsia"/>
          <w:sz w:val="28"/>
          <w:szCs w:val="28"/>
          <w:lang w:val="en-US" w:eastAsia="zh-CN"/>
        </w:rPr>
        <w:t>≥35</w:t>
      </w:r>
      <w:r>
        <w:rPr>
          <w:rFonts w:hint="eastAsia"/>
          <w:sz w:val="28"/>
          <w:szCs w:val="28"/>
          <w:lang w:eastAsia="zh-CN"/>
        </w:rPr>
        <w:t>%，</w:t>
      </w:r>
      <w:r>
        <w:rPr>
          <w:rFonts w:hint="eastAsia"/>
          <w:sz w:val="28"/>
          <w:szCs w:val="28"/>
          <w:highlight w:val="none"/>
          <w:lang w:eastAsia="zh-CN"/>
        </w:rPr>
        <w:t>配建机动车停车位</w:t>
      </w:r>
      <w:r>
        <w:rPr>
          <w:rFonts w:hint="eastAsia"/>
          <w:sz w:val="28"/>
          <w:szCs w:val="28"/>
          <w:u w:val="none"/>
          <w:lang w:val="en-US" w:eastAsia="zh-CN"/>
        </w:rPr>
        <w:t>套型建筑面积≤120m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的配建机动车位不少于1.0车位/户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  <w:u w:val="none"/>
          <w:lang w:val="en-US" w:eastAsia="zh-CN"/>
        </w:rPr>
        <w:t>120m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＜套型建筑面积≤150m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的配建机动车位不少于1.2车位/户，套型建筑面积＞150m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的配建机动车位不少于1.5车位/户，</w:t>
      </w:r>
      <w:r>
        <w:rPr>
          <w:rFonts w:hint="eastAsia"/>
          <w:sz w:val="28"/>
          <w:szCs w:val="28"/>
          <w:u w:val="none"/>
          <w:lang w:eastAsia="zh-CN"/>
        </w:rPr>
        <w:t>新建住宅配建停车位应100%建设充电设施或预留安装条件，其中不少于15%的车位应与住宅项目同步建成充电设施，达到同步使用要求</w:t>
      </w:r>
      <w:r>
        <w:rPr>
          <w:rFonts w:hint="eastAsia"/>
          <w:sz w:val="28"/>
          <w:szCs w:val="28"/>
          <w:lang w:val="en-US" w:eastAsia="zh-CN"/>
        </w:rPr>
        <w:t>。地面机动车停车位数量不超过住宅总套数的10%。</w:t>
      </w:r>
      <w:r>
        <w:rPr>
          <w:rFonts w:hint="eastAsia"/>
          <w:sz w:val="28"/>
          <w:szCs w:val="28"/>
          <w:lang w:eastAsia="zh-CN"/>
        </w:rPr>
        <w:t>非机动车停车位调整为</w:t>
      </w:r>
      <w:r>
        <w:rPr>
          <w:rFonts w:hint="eastAsia"/>
          <w:sz w:val="28"/>
          <w:szCs w:val="28"/>
          <w:u w:val="none"/>
          <w:lang w:val="en-US" w:eastAsia="zh-CN"/>
        </w:rPr>
        <w:t>不少于</w:t>
      </w:r>
      <w:r>
        <w:rPr>
          <w:rFonts w:hint="eastAsia"/>
          <w:sz w:val="28"/>
          <w:szCs w:val="28"/>
          <w:u w:val="none"/>
          <w:lang w:eastAsia="zh-CN"/>
        </w:rPr>
        <w:t>2车位/户，充电车位占比≥1车位/户，与住宅项目同步建成使用</w:t>
      </w:r>
      <w:r>
        <w:rPr>
          <w:rFonts w:hint="eastAsia"/>
          <w:sz w:val="28"/>
          <w:szCs w:val="28"/>
          <w:lang w:eastAsia="zh-CN"/>
        </w:rPr>
        <w:t>。地块出入口位置为东侧、</w:t>
      </w:r>
      <w:r>
        <w:rPr>
          <w:rFonts w:hint="eastAsia"/>
          <w:sz w:val="28"/>
          <w:szCs w:val="28"/>
          <w:lang w:val="en-US" w:eastAsia="zh-CN"/>
        </w:rPr>
        <w:t>南侧、</w:t>
      </w:r>
      <w:r>
        <w:rPr>
          <w:rFonts w:hint="eastAsia"/>
          <w:sz w:val="28"/>
          <w:szCs w:val="28"/>
          <w:lang w:eastAsia="zh-CN"/>
        </w:rPr>
        <w:t>北侧，用地兼容性调整为兼容</w:t>
      </w:r>
      <w:r>
        <w:rPr>
          <w:rFonts w:hint="eastAsia"/>
          <w:sz w:val="28"/>
          <w:szCs w:val="28"/>
          <w:lang w:val="en-US" w:eastAsia="zh-CN"/>
        </w:rPr>
        <w:t>商业用地，用地面积、建筑面积不超过总面积10%。</w:t>
      </w:r>
    </w:p>
    <w:p>
      <w:pPr>
        <w:bidi w:val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G-14-01</w:t>
      </w:r>
      <w:r>
        <w:rPr>
          <w:rFonts w:hint="eastAsia"/>
          <w:sz w:val="28"/>
          <w:szCs w:val="28"/>
          <w:lang w:val="en-US" w:eastAsia="zh-CN"/>
        </w:rPr>
        <w:t>为二类城镇住宅用地（070102），面积为37187.67m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，容积率≤2.2，建筑密度为≤28%</w:t>
      </w:r>
      <w:r>
        <w:rPr>
          <w:rFonts w:hint="eastAsia"/>
          <w:sz w:val="28"/>
          <w:szCs w:val="28"/>
        </w:rPr>
        <w:t>，建筑限高为≤</w:t>
      </w:r>
      <w:r>
        <w:rPr>
          <w:rFonts w:hint="eastAsia"/>
          <w:sz w:val="28"/>
          <w:szCs w:val="28"/>
          <w:lang w:val="en-US" w:eastAsia="zh-CN"/>
        </w:rPr>
        <w:t>54m，</w:t>
      </w:r>
      <w:r>
        <w:rPr>
          <w:rFonts w:hint="eastAsia"/>
          <w:sz w:val="28"/>
          <w:szCs w:val="28"/>
        </w:rPr>
        <w:t>绿地率为</w:t>
      </w:r>
      <w:r>
        <w:rPr>
          <w:rFonts w:hint="eastAsia"/>
          <w:sz w:val="28"/>
          <w:szCs w:val="28"/>
          <w:lang w:val="en-US" w:eastAsia="zh-CN"/>
        </w:rPr>
        <w:t>≥35</w:t>
      </w:r>
      <w:r>
        <w:rPr>
          <w:rFonts w:hint="eastAsia"/>
          <w:sz w:val="28"/>
          <w:szCs w:val="28"/>
          <w:lang w:eastAsia="zh-CN"/>
        </w:rPr>
        <w:t>%，</w:t>
      </w:r>
      <w:r>
        <w:rPr>
          <w:rFonts w:hint="eastAsia"/>
          <w:sz w:val="28"/>
          <w:szCs w:val="28"/>
          <w:highlight w:val="none"/>
          <w:lang w:eastAsia="zh-CN"/>
        </w:rPr>
        <w:t>配建机动车停车位</w:t>
      </w:r>
      <w:r>
        <w:rPr>
          <w:rFonts w:hint="eastAsia"/>
          <w:sz w:val="28"/>
          <w:szCs w:val="28"/>
          <w:u w:val="none"/>
          <w:lang w:val="en-US" w:eastAsia="zh-CN"/>
        </w:rPr>
        <w:t>套型建筑面积≤120m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的配建机动车位不少于1.0车位/户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  <w:u w:val="none"/>
          <w:lang w:val="en-US" w:eastAsia="zh-CN"/>
        </w:rPr>
        <w:t>120m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＜套型建筑面积≤150m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的配建机动车位不少于1.2车位/户，套型建筑面积＞150m</w:t>
      </w:r>
      <w:r>
        <w:rPr>
          <w:rFonts w:hint="eastAsia"/>
          <w:sz w:val="28"/>
          <w:szCs w:val="28"/>
          <w:u w:val="none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u w:val="none"/>
          <w:lang w:val="en-US" w:eastAsia="zh-CN"/>
        </w:rPr>
        <w:t>的配建机动车位不少于1.5车位/户，</w:t>
      </w:r>
      <w:r>
        <w:rPr>
          <w:rFonts w:hint="eastAsia"/>
          <w:sz w:val="28"/>
          <w:szCs w:val="28"/>
          <w:u w:val="none"/>
          <w:lang w:eastAsia="zh-CN"/>
        </w:rPr>
        <w:t>新建住宅配建停车位应100%建设充电设施或预留安装条件，其中不少于15%的车位应与住宅项目同步建成充电设施，达到同步使用要求</w:t>
      </w:r>
      <w:r>
        <w:rPr>
          <w:rFonts w:hint="eastAsia"/>
          <w:sz w:val="28"/>
          <w:szCs w:val="28"/>
          <w:lang w:val="en-US" w:eastAsia="zh-CN"/>
        </w:rPr>
        <w:t>。地面机动车停车位数量不超过住宅总套数的10%。</w:t>
      </w:r>
      <w:r>
        <w:rPr>
          <w:rFonts w:hint="eastAsia"/>
          <w:sz w:val="28"/>
          <w:szCs w:val="28"/>
          <w:lang w:eastAsia="zh-CN"/>
        </w:rPr>
        <w:t>非机动车停车位调整为</w:t>
      </w:r>
      <w:r>
        <w:rPr>
          <w:rFonts w:hint="eastAsia"/>
          <w:sz w:val="28"/>
          <w:szCs w:val="28"/>
          <w:u w:val="none"/>
          <w:lang w:val="en-US" w:eastAsia="zh-CN"/>
        </w:rPr>
        <w:t>不少于</w:t>
      </w:r>
      <w:r>
        <w:rPr>
          <w:rFonts w:hint="eastAsia"/>
          <w:sz w:val="28"/>
          <w:szCs w:val="28"/>
          <w:u w:val="none"/>
          <w:lang w:eastAsia="zh-CN"/>
        </w:rPr>
        <w:t>2车位/户，充电车位占比≥1车位/户，与住宅项目同步建成使用</w:t>
      </w:r>
      <w:r>
        <w:rPr>
          <w:rFonts w:hint="eastAsia"/>
          <w:sz w:val="28"/>
          <w:szCs w:val="28"/>
          <w:lang w:eastAsia="zh-CN"/>
        </w:rPr>
        <w:t>。地块出入口位置为东侧、</w:t>
      </w:r>
      <w:r>
        <w:rPr>
          <w:rFonts w:hint="eastAsia"/>
          <w:sz w:val="28"/>
          <w:szCs w:val="28"/>
          <w:lang w:val="en-US" w:eastAsia="zh-CN"/>
        </w:rPr>
        <w:t>南侧、</w:t>
      </w:r>
      <w:r>
        <w:rPr>
          <w:rFonts w:hint="eastAsia"/>
          <w:sz w:val="28"/>
          <w:szCs w:val="28"/>
          <w:lang w:eastAsia="zh-CN"/>
        </w:rPr>
        <w:t>北侧，用地兼容性调整为兼容</w:t>
      </w:r>
      <w:r>
        <w:rPr>
          <w:rFonts w:hint="eastAsia"/>
          <w:sz w:val="28"/>
          <w:szCs w:val="28"/>
          <w:lang w:val="en-US" w:eastAsia="zh-CN"/>
        </w:rPr>
        <w:t>商业用地，用地面积、建筑面积不超过总面积10%。</w:t>
      </w:r>
    </w:p>
    <w:p>
      <w:pPr>
        <w:ind w:firstLine="480"/>
        <w:rPr>
          <w:rFonts w:hint="eastAsia"/>
          <w:b/>
          <w:bCs/>
          <w:highlight w:val="yellow"/>
          <w:lang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1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599432F"/>
    <w:rsid w:val="08D631A4"/>
    <w:rsid w:val="0924578C"/>
    <w:rsid w:val="09C80065"/>
    <w:rsid w:val="0A154985"/>
    <w:rsid w:val="0C831895"/>
    <w:rsid w:val="0DB379D6"/>
    <w:rsid w:val="0E8B3E67"/>
    <w:rsid w:val="0EF20515"/>
    <w:rsid w:val="0FBB73C9"/>
    <w:rsid w:val="0FD61966"/>
    <w:rsid w:val="109B38DA"/>
    <w:rsid w:val="11324747"/>
    <w:rsid w:val="11E730DB"/>
    <w:rsid w:val="12D76496"/>
    <w:rsid w:val="154A73F4"/>
    <w:rsid w:val="155D688F"/>
    <w:rsid w:val="15BA6989"/>
    <w:rsid w:val="18695B1E"/>
    <w:rsid w:val="199D21E8"/>
    <w:rsid w:val="1E116D00"/>
    <w:rsid w:val="1EB55F58"/>
    <w:rsid w:val="1EE02E7D"/>
    <w:rsid w:val="1F153F49"/>
    <w:rsid w:val="21DA565B"/>
    <w:rsid w:val="22606D04"/>
    <w:rsid w:val="229E2B2D"/>
    <w:rsid w:val="246578D4"/>
    <w:rsid w:val="253D55B1"/>
    <w:rsid w:val="281A4A03"/>
    <w:rsid w:val="2CD91895"/>
    <w:rsid w:val="2D746964"/>
    <w:rsid w:val="30632547"/>
    <w:rsid w:val="315C608D"/>
    <w:rsid w:val="33266952"/>
    <w:rsid w:val="36637EBD"/>
    <w:rsid w:val="36BD312A"/>
    <w:rsid w:val="36FB4ACB"/>
    <w:rsid w:val="37AE58D5"/>
    <w:rsid w:val="3A6B7341"/>
    <w:rsid w:val="3AB02FA5"/>
    <w:rsid w:val="3AB83A06"/>
    <w:rsid w:val="3AE315CD"/>
    <w:rsid w:val="3B822B94"/>
    <w:rsid w:val="3BD641DA"/>
    <w:rsid w:val="3BE42ACC"/>
    <w:rsid w:val="3CA803D8"/>
    <w:rsid w:val="3CB00C56"/>
    <w:rsid w:val="418E420F"/>
    <w:rsid w:val="41C31810"/>
    <w:rsid w:val="453F1A8A"/>
    <w:rsid w:val="46203170"/>
    <w:rsid w:val="46D014AA"/>
    <w:rsid w:val="499C59B7"/>
    <w:rsid w:val="4C207F8B"/>
    <w:rsid w:val="4DDC6AE9"/>
    <w:rsid w:val="4E79582B"/>
    <w:rsid w:val="52DF3B64"/>
    <w:rsid w:val="546E385E"/>
    <w:rsid w:val="54D93F05"/>
    <w:rsid w:val="55B1434A"/>
    <w:rsid w:val="58564E39"/>
    <w:rsid w:val="58CA1889"/>
    <w:rsid w:val="598C5B8D"/>
    <w:rsid w:val="59BD150F"/>
    <w:rsid w:val="5A1B4488"/>
    <w:rsid w:val="5B85605C"/>
    <w:rsid w:val="5F025C16"/>
    <w:rsid w:val="617E7B9B"/>
    <w:rsid w:val="624D0F56"/>
    <w:rsid w:val="63E2436F"/>
    <w:rsid w:val="652D1B5C"/>
    <w:rsid w:val="66DD0BC7"/>
    <w:rsid w:val="696F1F2A"/>
    <w:rsid w:val="6BEA5A68"/>
    <w:rsid w:val="6ED25D38"/>
    <w:rsid w:val="704020FA"/>
    <w:rsid w:val="70B51B02"/>
    <w:rsid w:val="70BF4B62"/>
    <w:rsid w:val="70EF41DA"/>
    <w:rsid w:val="73CD6075"/>
    <w:rsid w:val="76D23C75"/>
    <w:rsid w:val="78270EBD"/>
    <w:rsid w:val="79BE2A0E"/>
    <w:rsid w:val="7AA240CC"/>
    <w:rsid w:val="7B424F78"/>
    <w:rsid w:val="7C684EB3"/>
    <w:rsid w:val="7C7319F1"/>
    <w:rsid w:val="7CAB4B18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4"/>
    <w:autoRedefine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6"/>
    <w:autoRedefine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7"/>
    <w:autoRedefine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30"/>
    <w:autoRedefine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"/>
    <w:basedOn w:val="1"/>
    <w:next w:val="8"/>
    <w:autoRedefine/>
    <w:unhideWhenUsed/>
    <w:qFormat/>
    <w:uiPriority w:val="99"/>
    <w:pPr>
      <w:spacing w:after="120" w:afterLines="0" w:afterAutospacing="0"/>
      <w:ind w:left="420" w:leftChars="200"/>
    </w:pPr>
  </w:style>
  <w:style w:type="paragraph" w:styleId="8">
    <w:name w:val="envelope return"/>
    <w:autoRedefine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9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rPr>
      <w:rFonts w:cs="Times New Roman"/>
    </w:rPr>
  </w:style>
  <w:style w:type="paragraph" w:styleId="12">
    <w:name w:val="toc 2"/>
    <w:basedOn w:val="1"/>
    <w:next w:val="1"/>
    <w:autoRedefine/>
    <w:unhideWhenUsed/>
    <w:qFormat/>
    <w:uiPriority w:val="39"/>
    <w:pPr>
      <w:ind w:left="420" w:leftChars="200"/>
    </w:pPr>
    <w:rPr>
      <w:rFonts w:cs="Times New Roman"/>
    </w:rPr>
  </w:style>
  <w:style w:type="paragraph" w:styleId="13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Title"/>
    <w:basedOn w:val="1"/>
    <w:next w:val="1"/>
    <w:link w:val="29"/>
    <w:autoRedefine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paragraph" w:styleId="15">
    <w:name w:val="Body Text First Indent"/>
    <w:next w:val="16"/>
    <w:autoRedefine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16">
    <w:name w:val="Body Text First Indent 2"/>
    <w:basedOn w:val="7"/>
    <w:next w:val="15"/>
    <w:autoRedefine/>
    <w:unhideWhenUsed/>
    <w:qFormat/>
    <w:uiPriority w:val="99"/>
    <w:pPr>
      <w:ind w:firstLine="420" w:firstLineChars="200"/>
    </w:pPr>
  </w:style>
  <w:style w:type="table" w:styleId="18">
    <w:name w:val="Table Grid"/>
    <w:basedOn w:val="1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0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9"/>
    <w:autoRedefine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2"/>
    <w:autoRedefine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3"/>
    <w:autoRedefine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autoRedefine/>
    <w:qFormat/>
    <w:uiPriority w:val="34"/>
    <w:pPr>
      <w:ind w:firstLine="420"/>
    </w:pPr>
  </w:style>
  <w:style w:type="character" w:customStyle="1" w:styleId="26">
    <w:name w:val="标题 3 字符"/>
    <w:basedOn w:val="19"/>
    <w:link w:val="4"/>
    <w:autoRedefine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5"/>
    <w:autoRedefine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autoRedefine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4"/>
    <w:autoRedefine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6"/>
    <w:autoRedefine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autoRedefine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autoRedefine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autoRedefine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1379</Characters>
  <Lines>6</Lines>
  <Paragraphs>1</Paragraphs>
  <TotalTime>32</TotalTime>
  <ScaleCrop>false</ScaleCrop>
  <LinksUpToDate>false</LinksUpToDate>
  <CharactersWithSpaces>1479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2024-01-16T08:40:43Z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97EAC32DBF264C4691B6E7C2A3B7E679_13</vt:lpwstr>
  </property>
</Properties>
</file>