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rPr>
          <w:highlight w:val="none"/>
        </w:rPr>
      </w:pPr>
      <w:bookmarkStart w:id="0" w:name="_Toc11908"/>
    </w:p>
    <w:p>
      <w:pPr>
        <w:ind w:firstLine="0" w:firstLineChars="0"/>
        <w:jc w:val="center"/>
        <w:rPr>
          <w:rFonts w:ascii="宋体" w:hAnsi="宋体" w:eastAsia="宋体"/>
          <w:b/>
          <w:sz w:val="52"/>
          <w:szCs w:val="52"/>
          <w:highlight w:val="none"/>
        </w:rPr>
      </w:pPr>
    </w:p>
    <w:p>
      <w:pPr>
        <w:pStyle w:val="25"/>
        <w:rPr>
          <w:rFonts w:hint="eastAsia" w:ascii="仿宋" w:hAnsi="仿宋" w:eastAsia="仿宋" w:cs="仿宋"/>
          <w:sz w:val="52"/>
          <w:szCs w:val="52"/>
          <w:highlight w:val="none"/>
        </w:rPr>
      </w:pPr>
      <w:r>
        <w:rPr>
          <w:rFonts w:hint="eastAsia" w:ascii="仿宋" w:hAnsi="仿宋" w:eastAsia="仿宋" w:cs="仿宋"/>
          <w:i w:val="0"/>
          <w:iCs w:val="0"/>
          <w:caps w:val="0"/>
          <w:color w:val="3D3D3D"/>
          <w:spacing w:val="0"/>
          <w:sz w:val="52"/>
          <w:szCs w:val="52"/>
          <w:highlight w:val="none"/>
          <w:shd w:val="clear" w:fill="FFFFFF"/>
          <w:lang w:val="en-US" w:eastAsia="zh-CN"/>
        </w:rPr>
        <w:t>2021年中央补助地方公共文化服务体系</w:t>
      </w:r>
      <w:r>
        <w:rPr>
          <w:rFonts w:hint="eastAsia" w:ascii="仿宋" w:hAnsi="仿宋" w:eastAsia="仿宋" w:cs="仿宋"/>
          <w:sz w:val="52"/>
          <w:szCs w:val="52"/>
          <w:highlight w:val="none"/>
        </w:rPr>
        <w:t>项目支出绩效自评总结报告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7"/>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_Toc31185 </w:instrText>
      </w:r>
      <w:r>
        <w:rPr>
          <w:highlight w:val="none"/>
        </w:rPr>
        <w:fldChar w:fldCharType="separate"/>
      </w:r>
      <w:r>
        <w:rPr>
          <w:rFonts w:hint="eastAsia"/>
          <w:highlight w:val="none"/>
        </w:rPr>
        <w:t>一、项目基本情况</w:t>
      </w:r>
      <w:r>
        <w:tab/>
      </w:r>
      <w:r>
        <w:fldChar w:fldCharType="begin"/>
      </w:r>
      <w:r>
        <w:instrText xml:space="preserve"> PAGEREF _Toc31185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_Toc9266 </w:instrText>
      </w:r>
      <w:r>
        <w:rPr>
          <w:highlight w:val="none"/>
        </w:rPr>
        <w:fldChar w:fldCharType="separate"/>
      </w:r>
      <w:r>
        <w:rPr>
          <w:rFonts w:hint="eastAsia"/>
          <w:highlight w:val="none"/>
        </w:rPr>
        <w:t>（一）项目基本信息</w:t>
      </w:r>
      <w:r>
        <w:tab/>
      </w:r>
      <w:r>
        <w:fldChar w:fldCharType="begin"/>
      </w:r>
      <w:r>
        <w:instrText xml:space="preserve"> PAGEREF _Toc9266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_Toc21414 </w:instrText>
      </w:r>
      <w:r>
        <w:rPr>
          <w:highlight w:val="none"/>
        </w:rPr>
        <w:fldChar w:fldCharType="separate"/>
      </w:r>
      <w:r>
        <w:rPr>
          <w:rFonts w:hint="eastAsia"/>
          <w:highlight w:val="none"/>
        </w:rPr>
        <w:t>（二）项目支出情况</w:t>
      </w:r>
      <w:r>
        <w:tab/>
      </w:r>
      <w:r>
        <w:fldChar w:fldCharType="begin"/>
      </w:r>
      <w:r>
        <w:instrText xml:space="preserve"> PAGEREF _Toc21414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_Toc19248 </w:instrText>
      </w:r>
      <w:r>
        <w:rPr>
          <w:highlight w:val="none"/>
        </w:rPr>
        <w:fldChar w:fldCharType="separate"/>
      </w:r>
      <w:r>
        <w:rPr>
          <w:rFonts w:hint="eastAsia"/>
          <w:highlight w:val="none"/>
        </w:rPr>
        <w:t>二、绩效自评工作开展情况</w:t>
      </w:r>
      <w:r>
        <w:tab/>
      </w:r>
      <w:r>
        <w:fldChar w:fldCharType="begin"/>
      </w:r>
      <w:r>
        <w:instrText xml:space="preserve"> PAGEREF _Toc19248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_Toc24016 </w:instrText>
      </w:r>
      <w:r>
        <w:rPr>
          <w:highlight w:val="none"/>
        </w:rPr>
        <w:fldChar w:fldCharType="separate"/>
      </w:r>
      <w:r>
        <w:rPr>
          <w:rFonts w:hint="eastAsia"/>
          <w:highlight w:val="none"/>
        </w:rPr>
        <w:t>（一）绩效自评价目的和意义</w:t>
      </w:r>
      <w:r>
        <w:tab/>
      </w:r>
      <w:r>
        <w:fldChar w:fldCharType="begin"/>
      </w:r>
      <w:r>
        <w:instrText xml:space="preserve"> PAGEREF _Toc24016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_Toc22888 </w:instrText>
      </w:r>
      <w:r>
        <w:rPr>
          <w:highlight w:val="none"/>
        </w:rPr>
        <w:fldChar w:fldCharType="separate"/>
      </w:r>
      <w:r>
        <w:rPr>
          <w:rFonts w:hint="eastAsia"/>
          <w:highlight w:val="none"/>
        </w:rPr>
        <w:t>（二）绩效自评价对象和范围</w:t>
      </w:r>
      <w:r>
        <w:tab/>
      </w:r>
      <w:r>
        <w:fldChar w:fldCharType="begin"/>
      </w:r>
      <w:r>
        <w:instrText xml:space="preserve"> PAGEREF _Toc22888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_Toc11950 </w:instrText>
      </w:r>
      <w:r>
        <w:rPr>
          <w:highlight w:val="none"/>
        </w:rPr>
        <w:fldChar w:fldCharType="separate"/>
      </w:r>
      <w:r>
        <w:rPr>
          <w:rFonts w:hint="eastAsia"/>
          <w:highlight w:val="none"/>
        </w:rPr>
        <w:t>（三）绩效评价的依据</w:t>
      </w:r>
      <w:r>
        <w:tab/>
      </w:r>
      <w:r>
        <w:fldChar w:fldCharType="begin"/>
      </w:r>
      <w:r>
        <w:instrText xml:space="preserve"> PAGEREF _Toc11950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_Toc28511 </w:instrText>
      </w:r>
      <w:r>
        <w:rPr>
          <w:highlight w:val="none"/>
        </w:rPr>
        <w:fldChar w:fldCharType="separate"/>
      </w:r>
      <w:r>
        <w:rPr>
          <w:rFonts w:hint="eastAsia"/>
          <w:highlight w:val="none"/>
        </w:rPr>
        <w:t>（四）评分方法</w:t>
      </w:r>
      <w:r>
        <w:tab/>
      </w:r>
      <w:r>
        <w:fldChar w:fldCharType="begin"/>
      </w:r>
      <w:r>
        <w:instrText xml:space="preserve"> PAGEREF _Toc28511 \h </w:instrText>
      </w:r>
      <w:r>
        <w:fldChar w:fldCharType="separate"/>
      </w:r>
      <w:r>
        <w:t>3</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_Toc25005 </w:instrText>
      </w:r>
      <w:r>
        <w:rPr>
          <w:highlight w:val="none"/>
        </w:rPr>
        <w:fldChar w:fldCharType="separate"/>
      </w:r>
      <w:r>
        <w:rPr>
          <w:rFonts w:hint="eastAsia"/>
          <w:highlight w:val="none"/>
        </w:rPr>
        <w:t>（五）绩效自评工作组织</w:t>
      </w:r>
      <w:r>
        <w:tab/>
      </w:r>
      <w:r>
        <w:fldChar w:fldCharType="begin"/>
      </w:r>
      <w:r>
        <w:instrText xml:space="preserve"> PAGEREF _Toc25005 \h </w:instrText>
      </w:r>
      <w:r>
        <w:fldChar w:fldCharType="separate"/>
      </w:r>
      <w:r>
        <w:t>4</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_Toc19406 </w:instrText>
      </w:r>
      <w:r>
        <w:rPr>
          <w:highlight w:val="none"/>
        </w:rPr>
        <w:fldChar w:fldCharType="separate"/>
      </w:r>
      <w:r>
        <w:rPr>
          <w:rFonts w:hint="eastAsia"/>
          <w:highlight w:val="none"/>
        </w:rPr>
        <w:t>三、绩效自评结果及分析</w:t>
      </w:r>
      <w:r>
        <w:tab/>
      </w:r>
      <w:r>
        <w:fldChar w:fldCharType="begin"/>
      </w:r>
      <w:r>
        <w:instrText xml:space="preserve"> PAGEREF _Toc19406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_Toc28605 </w:instrText>
      </w:r>
      <w:r>
        <w:rPr>
          <w:highlight w:val="none"/>
        </w:rPr>
        <w:fldChar w:fldCharType="separate"/>
      </w:r>
      <w:r>
        <w:rPr>
          <w:highlight w:val="none"/>
        </w:rPr>
        <w:t>（一）绩效自评价结果</w:t>
      </w:r>
      <w:r>
        <w:tab/>
      </w:r>
      <w:r>
        <w:fldChar w:fldCharType="begin"/>
      </w:r>
      <w:r>
        <w:instrText xml:space="preserve"> PAGEREF _Toc28605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_Toc11437 </w:instrText>
      </w:r>
      <w:r>
        <w:rPr>
          <w:highlight w:val="none"/>
        </w:rPr>
        <w:fldChar w:fldCharType="separate"/>
      </w:r>
      <w:r>
        <w:rPr>
          <w:rFonts w:hint="eastAsia"/>
          <w:highlight w:val="none"/>
        </w:rPr>
        <w:t>（二）自评指标分析</w:t>
      </w:r>
      <w:r>
        <w:tab/>
      </w:r>
      <w:r>
        <w:fldChar w:fldCharType="begin"/>
      </w:r>
      <w:r>
        <w:instrText xml:space="preserve"> PAGEREF _Toc11437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_Toc19599 </w:instrText>
      </w:r>
      <w:r>
        <w:rPr>
          <w:highlight w:val="none"/>
        </w:rPr>
        <w:fldChar w:fldCharType="separate"/>
      </w:r>
      <w:r>
        <w:rPr>
          <w:rFonts w:hint="eastAsia"/>
          <w:highlight w:val="none"/>
        </w:rPr>
        <w:t>四、成果和问题</w:t>
      </w:r>
      <w:r>
        <w:tab/>
      </w:r>
      <w:r>
        <w:fldChar w:fldCharType="begin"/>
      </w:r>
      <w:r>
        <w:instrText xml:space="preserve"> PAGEREF _Toc19599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_Toc13830 </w:instrText>
      </w:r>
      <w:r>
        <w:rPr>
          <w:highlight w:val="none"/>
        </w:rPr>
        <w:fldChar w:fldCharType="separate"/>
      </w:r>
      <w:r>
        <w:rPr>
          <w:rFonts w:hint="eastAsia"/>
          <w:highlight w:val="none"/>
        </w:rPr>
        <w:t>（一）项目实施的成果</w:t>
      </w:r>
      <w:r>
        <w:tab/>
      </w:r>
      <w:r>
        <w:fldChar w:fldCharType="begin"/>
      </w:r>
      <w:r>
        <w:instrText xml:space="preserve"> PAGEREF _Toc13830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_Toc30399 </w:instrText>
      </w:r>
      <w:r>
        <w:rPr>
          <w:highlight w:val="none"/>
        </w:rPr>
        <w:fldChar w:fldCharType="separate"/>
      </w:r>
      <w:r>
        <w:rPr>
          <w:rFonts w:hint="eastAsia"/>
          <w:highlight w:val="none"/>
        </w:rPr>
        <w:t>（二）项目存在的问题</w:t>
      </w:r>
      <w:r>
        <w:tab/>
      </w:r>
      <w:r>
        <w:fldChar w:fldCharType="begin"/>
      </w:r>
      <w:r>
        <w:instrText xml:space="preserve"> PAGEREF _Toc30399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_Toc29674 </w:instrText>
      </w:r>
      <w:r>
        <w:rPr>
          <w:highlight w:val="none"/>
        </w:rPr>
        <w:fldChar w:fldCharType="separate"/>
      </w:r>
      <w:r>
        <w:rPr>
          <w:rFonts w:hint="eastAsia"/>
          <w:highlight w:val="none"/>
        </w:rPr>
        <w:t>五、建议</w:t>
      </w:r>
      <w:r>
        <w:tab/>
      </w:r>
      <w:r>
        <w:fldChar w:fldCharType="begin"/>
      </w:r>
      <w:r>
        <w:instrText xml:space="preserve"> PAGEREF _Toc29674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_Toc23126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_Toc23126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_Toc31098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_Toc31098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_Toc8261 </w:instrText>
      </w:r>
      <w:r>
        <w:rPr>
          <w:highlight w:val="none"/>
        </w:rPr>
        <w:fldChar w:fldCharType="separate"/>
      </w:r>
      <w:r>
        <w:rPr>
          <w:rFonts w:hint="eastAsia"/>
          <w:highlight w:val="none"/>
        </w:rPr>
        <w:t>六、其他需要说明的问题</w:t>
      </w:r>
      <w:r>
        <w:tab/>
      </w:r>
      <w:r>
        <w:fldChar w:fldCharType="begin"/>
      </w:r>
      <w:r>
        <w:instrText xml:space="preserve"> PAGEREF _Toc8261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_Toc27887 </w:instrText>
      </w:r>
      <w:r>
        <w:rPr>
          <w:highlight w:val="none"/>
        </w:rPr>
        <w:fldChar w:fldCharType="separate"/>
      </w:r>
      <w:r>
        <w:rPr>
          <w:rFonts w:hint="eastAsia"/>
          <w:highlight w:val="none"/>
        </w:rPr>
        <w:t>七、附件</w:t>
      </w:r>
      <w:r>
        <w:tab/>
      </w:r>
      <w:r>
        <w:fldChar w:fldCharType="begin"/>
      </w:r>
      <w:r>
        <w:instrText xml:space="preserve"> PAGEREF _Toc27887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_Toc6854 </w:instrText>
      </w:r>
      <w:r>
        <w:rPr>
          <w:highlight w:val="none"/>
        </w:rPr>
        <w:fldChar w:fldCharType="separate"/>
      </w:r>
      <w:r>
        <w:rPr>
          <w:rFonts w:hint="eastAsia"/>
          <w:highlight w:val="none"/>
        </w:rPr>
        <w:t>附件一：项目绩效自评表</w:t>
      </w:r>
      <w:r>
        <w:tab/>
      </w:r>
      <w:r>
        <w:fldChar w:fldCharType="begin"/>
      </w:r>
      <w:r>
        <w:instrText xml:space="preserve"> PAGEREF _Toc6854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31185"/>
      <w:r>
        <w:rPr>
          <w:rFonts w:hint="eastAsia"/>
          <w:highlight w:val="none"/>
        </w:rPr>
        <w:t>一、项目基本情况</w:t>
      </w:r>
      <w:bookmarkEnd w:id="0"/>
      <w:bookmarkEnd w:id="1"/>
      <w:bookmarkEnd w:id="2"/>
    </w:p>
    <w:p>
      <w:pPr>
        <w:pStyle w:val="3"/>
        <w:rPr>
          <w:highlight w:val="none"/>
        </w:rPr>
      </w:pPr>
      <w:bookmarkStart w:id="3" w:name="_Toc79333431"/>
      <w:bookmarkStart w:id="4" w:name="_Toc8110"/>
      <w:bookmarkStart w:id="5" w:name="_Toc9266"/>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i w:val="0"/>
          <w:caps w:val="0"/>
          <w:color w:val="000000"/>
          <w:spacing w:val="0"/>
          <w:sz w:val="32"/>
          <w:szCs w:val="32"/>
          <w:highlight w:val="none"/>
          <w:shd w:val="clear" w:fill="FFFFFF"/>
        </w:rPr>
        <w:t>根据</w:t>
      </w:r>
      <w:r>
        <w:rPr>
          <w:rFonts w:hint="eastAsia" w:ascii="仿宋" w:hAnsi="仿宋" w:eastAsia="仿宋" w:cs="仿宋"/>
          <w:b w:val="0"/>
          <w:bCs w:val="0"/>
          <w:i w:val="0"/>
          <w:caps w:val="0"/>
          <w:color w:val="000000"/>
          <w:spacing w:val="0"/>
          <w:sz w:val="32"/>
          <w:szCs w:val="32"/>
          <w:highlight w:val="none"/>
          <w:shd w:val="clear" w:fill="FFFFFF"/>
          <w:lang w:eastAsia="zh-CN"/>
        </w:rPr>
        <w:t>《河南省财政厅关于提前下达</w:t>
      </w:r>
      <w:r>
        <w:rPr>
          <w:rFonts w:hint="eastAsia" w:ascii="仿宋" w:hAnsi="仿宋" w:eastAsia="仿宋" w:cs="仿宋"/>
          <w:b w:val="0"/>
          <w:bCs w:val="0"/>
          <w:i w:val="0"/>
          <w:caps w:val="0"/>
          <w:color w:val="000000"/>
          <w:spacing w:val="0"/>
          <w:sz w:val="32"/>
          <w:szCs w:val="32"/>
          <w:highlight w:val="none"/>
          <w:shd w:val="clear" w:fill="FFFFFF"/>
          <w:lang w:val="en-US" w:eastAsia="zh-CN"/>
        </w:rPr>
        <w:t>2021年中央支持地方公共文化服务体系建设专项资金预算的通知</w:t>
      </w:r>
      <w:r>
        <w:rPr>
          <w:rFonts w:hint="eastAsia" w:ascii="仿宋" w:hAnsi="仿宋" w:eastAsia="仿宋" w:cs="仿宋"/>
          <w:b w:val="0"/>
          <w:bCs w:val="0"/>
          <w:i w:val="0"/>
          <w:caps w:val="0"/>
          <w:color w:val="000000"/>
          <w:spacing w:val="0"/>
          <w:sz w:val="32"/>
          <w:szCs w:val="32"/>
          <w:highlight w:val="none"/>
          <w:shd w:val="clear" w:fill="FFFFFF"/>
          <w:lang w:eastAsia="zh-CN"/>
        </w:rPr>
        <w:t>》（豫财文〔</w:t>
      </w:r>
      <w:r>
        <w:rPr>
          <w:rFonts w:hint="eastAsia" w:ascii="仿宋" w:hAnsi="仿宋" w:eastAsia="仿宋" w:cs="仿宋"/>
          <w:b w:val="0"/>
          <w:bCs w:val="0"/>
          <w:i w:val="0"/>
          <w:caps w:val="0"/>
          <w:color w:val="000000"/>
          <w:spacing w:val="0"/>
          <w:sz w:val="32"/>
          <w:szCs w:val="32"/>
          <w:highlight w:val="none"/>
          <w:shd w:val="clear" w:fill="FFFFFF"/>
          <w:lang w:val="en-US" w:eastAsia="zh-CN"/>
        </w:rPr>
        <w:t>2020</w:t>
      </w:r>
      <w:r>
        <w:rPr>
          <w:rFonts w:hint="eastAsia" w:ascii="仿宋" w:hAnsi="仿宋" w:eastAsia="仿宋" w:cs="仿宋"/>
          <w:b w:val="0"/>
          <w:bCs w:val="0"/>
          <w:i w:val="0"/>
          <w:caps w:val="0"/>
          <w:color w:val="000000"/>
          <w:spacing w:val="0"/>
          <w:sz w:val="32"/>
          <w:szCs w:val="32"/>
          <w:highlight w:val="none"/>
          <w:shd w:val="clear" w:fill="FFFFFF"/>
          <w:lang w:eastAsia="zh-CN"/>
        </w:rPr>
        <w:t>〕</w:t>
      </w:r>
      <w:r>
        <w:rPr>
          <w:rFonts w:hint="eastAsia" w:ascii="仿宋" w:hAnsi="仿宋" w:eastAsia="仿宋" w:cs="仿宋"/>
          <w:b w:val="0"/>
          <w:bCs w:val="0"/>
          <w:i w:val="0"/>
          <w:caps w:val="0"/>
          <w:color w:val="000000"/>
          <w:spacing w:val="0"/>
          <w:sz w:val="32"/>
          <w:szCs w:val="32"/>
          <w:highlight w:val="none"/>
          <w:shd w:val="clear" w:fill="FFFFFF"/>
          <w:lang w:val="en-US" w:eastAsia="zh-CN"/>
        </w:rPr>
        <w:t>108号）</w:t>
      </w:r>
      <w:r>
        <w:rPr>
          <w:rFonts w:hint="eastAsia" w:ascii="仿宋" w:hAnsi="仿宋" w:eastAsia="仿宋" w:cs="仿宋"/>
          <w:b w:val="0"/>
          <w:bCs w:val="0"/>
          <w:i w:val="0"/>
          <w:caps w:val="0"/>
          <w:color w:val="000000"/>
          <w:spacing w:val="0"/>
          <w:sz w:val="32"/>
          <w:szCs w:val="32"/>
          <w:highlight w:val="none"/>
          <w:shd w:val="clear" w:fill="FFFFFF"/>
        </w:rPr>
        <w:t>《</w:t>
      </w:r>
      <w:r>
        <w:rPr>
          <w:rFonts w:hint="eastAsia" w:ascii="仿宋" w:hAnsi="仿宋" w:eastAsia="仿宋" w:cs="仿宋"/>
          <w:b w:val="0"/>
          <w:bCs w:val="0"/>
          <w:i w:val="0"/>
          <w:caps w:val="0"/>
          <w:color w:val="000000"/>
          <w:spacing w:val="0"/>
          <w:sz w:val="32"/>
          <w:szCs w:val="32"/>
          <w:highlight w:val="none"/>
          <w:shd w:val="clear" w:fill="FFFFFF"/>
          <w:lang w:eastAsia="zh-CN"/>
        </w:rPr>
        <w:t>周口市文化广电和旅游局关于中央公共文化服务体系专项建设资金分配因素</w:t>
      </w:r>
      <w:r>
        <w:rPr>
          <w:rFonts w:hint="eastAsia" w:ascii="仿宋" w:hAnsi="仿宋" w:eastAsia="仿宋" w:cs="仿宋"/>
          <w:b w:val="0"/>
          <w:bCs w:val="0"/>
          <w:i w:val="0"/>
          <w:caps w:val="0"/>
          <w:color w:val="000000"/>
          <w:spacing w:val="0"/>
          <w:sz w:val="32"/>
          <w:szCs w:val="32"/>
          <w:highlight w:val="none"/>
          <w:shd w:val="clear" w:fill="FFFFFF"/>
        </w:rPr>
        <w:t>》</w:t>
      </w:r>
      <w:r>
        <w:rPr>
          <w:rFonts w:hint="eastAsia" w:ascii="仿宋" w:hAnsi="仿宋" w:eastAsia="仿宋" w:cs="仿宋"/>
          <w:b w:val="0"/>
          <w:bCs w:val="0"/>
          <w:i w:val="0"/>
          <w:caps w:val="0"/>
          <w:color w:val="000000"/>
          <w:spacing w:val="0"/>
          <w:sz w:val="32"/>
          <w:szCs w:val="32"/>
          <w:highlight w:val="none"/>
          <w:shd w:val="clear" w:fill="FFFFFF"/>
          <w:lang w:eastAsia="zh-CN"/>
        </w:rPr>
        <w:t>、《中共周口市委宣传部关于落实</w:t>
      </w:r>
      <w:r>
        <w:rPr>
          <w:rFonts w:hint="eastAsia" w:ascii="仿宋" w:hAnsi="仿宋" w:eastAsia="仿宋" w:cs="仿宋"/>
          <w:b w:val="0"/>
          <w:bCs w:val="0"/>
          <w:i w:val="0"/>
          <w:caps w:val="0"/>
          <w:color w:val="000000"/>
          <w:spacing w:val="0"/>
          <w:sz w:val="32"/>
          <w:szCs w:val="32"/>
          <w:highlight w:val="none"/>
          <w:shd w:val="clear" w:fill="FFFFFF"/>
          <w:lang w:val="en-US" w:eastAsia="zh-CN"/>
        </w:rPr>
        <w:t>2021年农家书屋资金的函》等相关文件，下达</w:t>
      </w:r>
      <w:r>
        <w:rPr>
          <w:rFonts w:hint="eastAsia" w:ascii="仿宋" w:hAnsi="仿宋" w:eastAsia="仿宋" w:cs="仿宋"/>
          <w:b w:val="0"/>
          <w:bCs w:val="0"/>
          <w:sz w:val="32"/>
          <w:szCs w:val="32"/>
          <w:highlight w:val="none"/>
          <w:lang w:val="en-US" w:eastAsia="zh-CN"/>
        </w:rPr>
        <w:t>太康县融媒体中心2021年中央支持地方公共文化服务体系建设资金72.04万元。</w:t>
      </w:r>
    </w:p>
    <w:p>
      <w:pPr>
        <w:pStyle w:val="4"/>
        <w:ind w:firstLine="643"/>
        <w:rPr>
          <w:b/>
          <w:bCs/>
          <w:highlight w:val="none"/>
        </w:rPr>
      </w:pPr>
      <w:bookmarkStart w:id="7" w:name="_Toc79333433"/>
      <w:r>
        <w:rPr>
          <w:rFonts w:hint="eastAsia"/>
          <w:highlight w:val="none"/>
        </w:rPr>
        <w:t>2、项目实施内容</w:t>
      </w:r>
      <w:bookmarkEnd w:id="7"/>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仿宋"/>
          <w:i w:val="0"/>
          <w:iCs w:val="0"/>
          <w:caps w:val="0"/>
          <w:color w:val="3D3D3D"/>
          <w:spacing w:val="0"/>
          <w:sz w:val="32"/>
          <w:szCs w:val="32"/>
          <w:highlight w:val="none"/>
          <w:shd w:val="clear" w:fill="FFFFFF"/>
          <w:lang w:val="en-US" w:eastAsia="zh-CN"/>
        </w:rPr>
      </w:pPr>
      <w:r>
        <w:rPr>
          <w:rFonts w:hint="eastAsia" w:ascii="仿宋" w:hAnsi="仿宋" w:eastAsia="仿宋" w:cs="仿宋"/>
          <w:sz w:val="32"/>
          <w:szCs w:val="32"/>
          <w:highlight w:val="none"/>
        </w:rPr>
        <w:t>本次项目实施内容主要有</w:t>
      </w:r>
      <w:bookmarkStart w:id="8" w:name="_Toc14372"/>
      <w:r>
        <w:rPr>
          <w:rFonts w:hint="eastAsia" w:ascii="仿宋" w:hAnsi="仿宋" w:eastAsia="仿宋" w:cs="仿宋"/>
          <w:i w:val="0"/>
          <w:iCs w:val="0"/>
          <w:caps w:val="0"/>
          <w:color w:val="3D3D3D"/>
          <w:spacing w:val="0"/>
          <w:sz w:val="32"/>
          <w:szCs w:val="32"/>
          <w:highlight w:val="none"/>
          <w:shd w:val="clear" w:fill="FFFFFF"/>
          <w:lang w:val="en-US" w:eastAsia="zh-CN"/>
        </w:rPr>
        <w:t>全部用于融媒体中心办公设备采购、设备维修、日常公共支出等费用。</w:t>
      </w:r>
    </w:p>
    <w:p>
      <w:pPr>
        <w:ind w:firstLine="640"/>
        <w:rPr>
          <w:highlight w:val="none"/>
        </w:rPr>
      </w:pPr>
    </w:p>
    <w:p>
      <w:pPr>
        <w:pStyle w:val="3"/>
        <w:rPr>
          <w:highlight w:val="none"/>
        </w:rPr>
      </w:pPr>
      <w:bookmarkStart w:id="9" w:name="_Toc21414"/>
      <w:bookmarkStart w:id="10" w:name="_Toc79333434"/>
      <w:r>
        <w:rPr>
          <w:rFonts w:hint="eastAsia"/>
          <w:highlight w:val="none"/>
        </w:rPr>
        <w:t>（二）项目支出情况</w:t>
      </w:r>
      <w:bookmarkEnd w:id="8"/>
      <w:bookmarkEnd w:id="9"/>
      <w:bookmarkEnd w:id="10"/>
    </w:p>
    <w:p>
      <w:pPr>
        <w:pStyle w:val="4"/>
        <w:ind w:firstLine="643"/>
        <w:rPr>
          <w:highlight w:val="none"/>
        </w:rPr>
      </w:pPr>
      <w:bookmarkStart w:id="11" w:name="_Toc28118"/>
      <w:bookmarkStart w:id="12" w:name="_Toc79333435"/>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72.04</w:t>
      </w:r>
      <w:r>
        <w:rPr>
          <w:rFonts w:hint="eastAsia"/>
          <w:highlight w:val="none"/>
        </w:rPr>
        <w:t>万元，当年实际执行</w:t>
      </w:r>
      <w:r>
        <w:rPr>
          <w:rFonts w:hint="eastAsia"/>
          <w:highlight w:val="none"/>
          <w:lang w:val="en-US" w:eastAsia="zh-CN"/>
        </w:rPr>
        <w:t>72.04</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72.04</w:t>
      </w:r>
      <w:r>
        <w:rPr>
          <w:rFonts w:hint="eastAsia"/>
          <w:highlight w:val="none"/>
        </w:rPr>
        <w:t>万元。</w:t>
      </w:r>
    </w:p>
    <w:p>
      <w:pPr>
        <w:ind w:firstLine="640"/>
        <w:jc w:val="left"/>
        <w:rPr>
          <w:highlight w:val="none"/>
        </w:rPr>
      </w:pPr>
    </w:p>
    <w:p>
      <w:pPr>
        <w:pStyle w:val="2"/>
        <w:rPr>
          <w:highlight w:val="none"/>
        </w:rPr>
      </w:pPr>
      <w:bookmarkStart w:id="15" w:name="_Toc79333437"/>
      <w:bookmarkStart w:id="16" w:name="_Toc75871361"/>
      <w:bookmarkStart w:id="17" w:name="_Toc10420"/>
      <w:bookmarkStart w:id="18" w:name="_Toc19248"/>
      <w:r>
        <w:rPr>
          <w:rFonts w:hint="eastAsia"/>
          <w:highlight w:val="none"/>
        </w:rPr>
        <w:t>二、绩效自评工作开展情况</w:t>
      </w:r>
      <w:bookmarkEnd w:id="15"/>
      <w:bookmarkEnd w:id="16"/>
      <w:bookmarkEnd w:id="17"/>
      <w:bookmarkEnd w:id="18"/>
    </w:p>
    <w:p>
      <w:pPr>
        <w:pStyle w:val="3"/>
        <w:rPr>
          <w:highlight w:val="none"/>
        </w:rPr>
      </w:pPr>
      <w:bookmarkStart w:id="19" w:name="_Toc24016"/>
      <w:bookmarkStart w:id="20" w:name="_Toc79333438"/>
      <w:bookmarkStart w:id="21" w:name="_Toc75871362"/>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3060"/>
      <w:bookmarkStart w:id="23" w:name="_Toc75871363"/>
      <w:bookmarkStart w:id="24" w:name="_Toc22888"/>
      <w:bookmarkStart w:id="25" w:name="_Toc79333439"/>
      <w:r>
        <w:rPr>
          <w:rFonts w:hint="eastAsia"/>
          <w:highlight w:val="none"/>
        </w:rPr>
        <w:t>（二）绩效自评价对象和范围</w:t>
      </w:r>
      <w:bookmarkEnd w:id="22"/>
      <w:bookmarkEnd w:id="23"/>
      <w:bookmarkEnd w:id="24"/>
      <w:bookmarkEnd w:id="25"/>
    </w:p>
    <w:p>
      <w:pPr>
        <w:ind w:firstLine="640"/>
        <w:rPr>
          <w:highlight w:val="none"/>
        </w:rPr>
      </w:pPr>
      <w:r>
        <w:rPr>
          <w:rFonts w:hint="eastAsia" w:ascii="仿宋" w:hAnsi="仿宋" w:eastAsia="仿宋" w:cs="仿宋"/>
          <w:sz w:val="32"/>
          <w:szCs w:val="32"/>
          <w:highlight w:val="none"/>
        </w:rPr>
        <w:t>本次绩效自评价对象为2021年</w:t>
      </w:r>
      <w:r>
        <w:rPr>
          <w:rFonts w:hint="eastAsia" w:ascii="仿宋" w:hAnsi="仿宋" w:eastAsia="仿宋" w:cs="仿宋"/>
          <w:i w:val="0"/>
          <w:iCs w:val="0"/>
          <w:caps w:val="0"/>
          <w:color w:val="3D3D3D"/>
          <w:spacing w:val="0"/>
          <w:sz w:val="32"/>
          <w:szCs w:val="32"/>
          <w:highlight w:val="none"/>
          <w:shd w:val="clear" w:fill="FFFFFF"/>
          <w:lang w:val="en-US" w:eastAsia="zh-CN"/>
        </w:rPr>
        <w:t>2021年中央补助地方公共文化服务体系</w:t>
      </w:r>
      <w:r>
        <w:rPr>
          <w:rFonts w:hint="eastAsia" w:ascii="仿宋" w:hAnsi="仿宋" w:eastAsia="仿宋" w:cs="仿宋"/>
          <w:sz w:val="32"/>
          <w:szCs w:val="32"/>
          <w:highlight w:val="none"/>
        </w:rPr>
        <w:t>建设项目专项资金，评价范围为涉及该项目管理及其预算资金</w:t>
      </w:r>
      <w:r>
        <w:rPr>
          <w:rFonts w:hint="eastAsia" w:ascii="仿宋" w:hAnsi="仿宋" w:eastAsia="仿宋" w:cs="仿宋"/>
          <w:sz w:val="32"/>
          <w:szCs w:val="32"/>
          <w:highlight w:val="none"/>
          <w:lang w:val="en-US" w:eastAsia="zh-CN"/>
        </w:rPr>
        <w:t>72.04</w:t>
      </w:r>
      <w:r>
        <w:rPr>
          <w:rFonts w:hint="eastAsia" w:ascii="仿宋" w:hAnsi="仿宋" w:eastAsia="仿宋" w:cs="仿宋"/>
          <w:sz w:val="32"/>
          <w:szCs w:val="32"/>
          <w:highlight w:val="none"/>
        </w:rPr>
        <w:t>万元的使用情况</w:t>
      </w:r>
      <w:r>
        <w:rPr>
          <w:rFonts w:hint="eastAsia"/>
          <w:highlight w:val="none"/>
        </w:rPr>
        <w:t>。</w:t>
      </w:r>
    </w:p>
    <w:p>
      <w:pPr>
        <w:pStyle w:val="3"/>
        <w:rPr>
          <w:highlight w:val="none"/>
        </w:rPr>
      </w:pPr>
      <w:bookmarkStart w:id="26" w:name="_Toc75871364"/>
      <w:bookmarkStart w:id="27" w:name="_Toc8160"/>
      <w:bookmarkStart w:id="28" w:name="_Toc11950"/>
      <w:bookmarkStart w:id="29" w:name="_Toc79333440"/>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13521"/>
      <w:bookmarkStart w:id="31" w:name="_Toc28511"/>
      <w:bookmarkStart w:id="32" w:name="_Toc75871365"/>
      <w:bookmarkStart w:id="33" w:name="_Toc79333441"/>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25005"/>
      <w:bookmarkStart w:id="36" w:name="_Toc75871366"/>
      <w:bookmarkStart w:id="37" w:name="_Toc79333442"/>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79" w:name="_GoBack"/>
      <w:bookmarkEnd w:id="79"/>
      <w:bookmarkStart w:id="38" w:name="_Toc79333443"/>
      <w:bookmarkStart w:id="39" w:name="_Toc19406"/>
      <w:r>
        <w:rPr>
          <w:rFonts w:hint="eastAsia"/>
          <w:highlight w:val="none"/>
        </w:rPr>
        <w:t>三、绩效自评结果及分析</w:t>
      </w:r>
      <w:bookmarkEnd w:id="38"/>
      <w:bookmarkEnd w:id="39"/>
    </w:p>
    <w:p>
      <w:pPr>
        <w:pStyle w:val="3"/>
        <w:rPr>
          <w:highlight w:val="none"/>
        </w:rPr>
      </w:pPr>
      <w:bookmarkStart w:id="40" w:name="_Toc79333444"/>
      <w:bookmarkStart w:id="41" w:name="_Toc4028"/>
      <w:bookmarkStart w:id="42" w:name="_Toc28605"/>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ind w:firstLine="640"/>
        <w:rPr>
          <w:highlight w:val="none"/>
        </w:rPr>
      </w:pPr>
    </w:p>
    <w:p>
      <w:pPr>
        <w:pStyle w:val="17"/>
        <w:ind w:firstLine="643"/>
        <w:rPr>
          <w:rFonts w:hint="eastAsia"/>
          <w:highlight w:val="none"/>
        </w:rPr>
      </w:pPr>
    </w:p>
    <w:p>
      <w:pPr>
        <w:pStyle w:val="17"/>
        <w:ind w:firstLine="643"/>
        <w:rPr>
          <w:rFonts w:hint="eastAsia"/>
          <w:highlight w:val="none"/>
        </w:rPr>
      </w:pPr>
    </w:p>
    <w:p>
      <w:pPr>
        <w:pStyle w:val="17"/>
        <w:ind w:firstLine="643"/>
        <w:rPr>
          <w:rFonts w:hint="eastAsia"/>
          <w:highlight w:val="none"/>
        </w:rPr>
      </w:pPr>
    </w:p>
    <w:p>
      <w:pPr>
        <w:pStyle w:val="17"/>
        <w:ind w:firstLine="643"/>
        <w:rPr>
          <w:highlight w:val="none"/>
        </w:rPr>
      </w:pPr>
      <w:r>
        <w:rPr>
          <w:rFonts w:hint="eastAsia"/>
          <w:highlight w:val="none"/>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设施设备采购</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办公设备运行采购</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设施设备采购率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设施设备合格率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6</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采购完成时间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设备投入运行时间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项目总支出</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12</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6"/>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提升公共服务水平</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提升媒体服务能力</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highlight w:val="none"/>
              </w:rPr>
            </w:pPr>
            <w:r>
              <w:rPr>
                <w:rFonts w:hint="eastAsia"/>
                <w:highlight w:val="none"/>
              </w:rPr>
              <w:t>持续提升新闻宣传质量</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highlight w:val="none"/>
              </w:rPr>
            </w:pPr>
            <w:r>
              <w:rPr>
                <w:rFonts w:hint="eastAsia"/>
                <w:highlight w:val="none"/>
              </w:rPr>
              <w:t>持续引导社会思潮，促进社会发展</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职工满意度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11437"/>
      <w:bookmarkStart w:id="44" w:name="_Toc31442"/>
      <w:bookmarkStart w:id="45" w:name="_Toc79333445"/>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72.04</w:t>
      </w:r>
      <w:r>
        <w:rPr>
          <w:rFonts w:hint="eastAsia"/>
          <w:highlight w:val="none"/>
        </w:rPr>
        <w:t>万元，全年执行数为</w:t>
      </w:r>
      <w:r>
        <w:rPr>
          <w:rFonts w:hint="eastAsia"/>
          <w:highlight w:val="none"/>
          <w:lang w:val="en-US" w:eastAsia="zh-CN"/>
        </w:rPr>
        <w:t>72.04</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“数量指标”下设二个三级指标“设施设备采购”及“办公设备运行采购”。</w:t>
      </w:r>
    </w:p>
    <w:p>
      <w:pPr>
        <w:ind w:firstLine="640"/>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2021年中央补助地方公共文化服务体系</w:t>
      </w:r>
      <w:r>
        <w:rPr>
          <w:rFonts w:hint="eastAsia" w:ascii="仿宋" w:hAnsi="仿宋" w:eastAsia="仿宋" w:cs="仿宋"/>
          <w:sz w:val="32"/>
          <w:szCs w:val="32"/>
          <w:highlight w:val="none"/>
        </w:rPr>
        <w:t>设施设备采购</w:t>
      </w:r>
      <w:r>
        <w:rPr>
          <w:rFonts w:hint="eastAsia" w:cs="仿宋"/>
          <w:sz w:val="32"/>
          <w:szCs w:val="32"/>
          <w:highlight w:val="none"/>
          <w:lang w:val="en-US" w:eastAsia="zh-CN"/>
        </w:rPr>
        <w:t>5批次全部完成</w:t>
      </w:r>
      <w:r>
        <w:rPr>
          <w:rFonts w:hint="eastAsia" w:ascii="仿宋" w:hAnsi="仿宋" w:eastAsia="仿宋" w:cs="仿宋"/>
          <w:sz w:val="32"/>
          <w:szCs w:val="32"/>
          <w:highlight w:val="none"/>
        </w:rPr>
        <w:t>，该指标标准分值</w:t>
      </w:r>
      <w:r>
        <w:rPr>
          <w:rFonts w:hint="eastAsia" w:cs="仿宋"/>
          <w:sz w:val="32"/>
          <w:szCs w:val="32"/>
          <w:highlight w:val="none"/>
          <w:lang w:val="en-US" w:eastAsia="zh-CN"/>
        </w:rPr>
        <w:t>6</w:t>
      </w:r>
      <w:r>
        <w:rPr>
          <w:rFonts w:hint="eastAsia" w:ascii="仿宋" w:hAnsi="仿宋" w:eastAsia="仿宋" w:cs="仿宋"/>
          <w:sz w:val="32"/>
          <w:szCs w:val="32"/>
          <w:highlight w:val="none"/>
        </w:rPr>
        <w:t>分，得</w:t>
      </w:r>
      <w:r>
        <w:rPr>
          <w:rFonts w:hint="eastAsia" w:cs="仿宋"/>
          <w:sz w:val="32"/>
          <w:szCs w:val="32"/>
          <w:highlight w:val="none"/>
          <w:lang w:val="en-US" w:eastAsia="zh-CN"/>
        </w:rPr>
        <w:t>6</w:t>
      </w:r>
      <w:r>
        <w:rPr>
          <w:rFonts w:hint="eastAsia" w:ascii="仿宋" w:hAnsi="仿宋" w:eastAsia="仿宋" w:cs="仿宋"/>
          <w:sz w:val="32"/>
          <w:szCs w:val="32"/>
          <w:highlight w:val="none"/>
        </w:rPr>
        <w:t>分；</w:t>
      </w:r>
      <w:r>
        <w:rPr>
          <w:rFonts w:hint="eastAsia"/>
          <w:highlight w:val="none"/>
        </w:rPr>
        <w:t>办公设备运行采购</w:t>
      </w:r>
      <w:r>
        <w:rPr>
          <w:rFonts w:hint="eastAsia" w:cs="仿宋"/>
          <w:sz w:val="32"/>
          <w:szCs w:val="32"/>
          <w:highlight w:val="none"/>
          <w:lang w:val="en-US" w:eastAsia="zh-CN"/>
        </w:rPr>
        <w:t>3批次全部完成</w:t>
      </w:r>
      <w:r>
        <w:rPr>
          <w:rFonts w:hint="eastAsia" w:ascii="仿宋" w:hAnsi="仿宋" w:eastAsia="仿宋" w:cs="仿宋"/>
          <w:sz w:val="32"/>
          <w:szCs w:val="32"/>
          <w:highlight w:val="none"/>
        </w:rPr>
        <w:t>，该指标标准分值</w:t>
      </w:r>
      <w:r>
        <w:rPr>
          <w:rFonts w:hint="eastAsia" w:cs="仿宋"/>
          <w:sz w:val="32"/>
          <w:szCs w:val="32"/>
          <w:highlight w:val="none"/>
          <w:lang w:val="en-US" w:eastAsia="zh-CN"/>
        </w:rPr>
        <w:t>6</w:t>
      </w:r>
      <w:r>
        <w:rPr>
          <w:rFonts w:hint="eastAsia" w:ascii="仿宋" w:hAnsi="仿宋" w:eastAsia="仿宋" w:cs="仿宋"/>
          <w:sz w:val="32"/>
          <w:szCs w:val="32"/>
          <w:highlight w:val="none"/>
        </w:rPr>
        <w:t>分，得</w:t>
      </w:r>
      <w:r>
        <w:rPr>
          <w:rFonts w:hint="eastAsia" w:cs="仿宋"/>
          <w:sz w:val="32"/>
          <w:szCs w:val="32"/>
          <w:highlight w:val="none"/>
          <w:lang w:val="en-US" w:eastAsia="zh-CN"/>
        </w:rPr>
        <w:t>6</w:t>
      </w:r>
      <w:r>
        <w:rPr>
          <w:rFonts w:hint="eastAsia" w:ascii="仿宋" w:hAnsi="仿宋" w:eastAsia="仿宋" w:cs="仿宋"/>
          <w:sz w:val="32"/>
          <w:szCs w:val="32"/>
          <w:highlight w:val="none"/>
        </w:rPr>
        <w:t>分。</w:t>
      </w:r>
    </w:p>
    <w:p>
      <w:pPr>
        <w:ind w:firstLine="640"/>
        <w:rPr>
          <w:highlight w:val="none"/>
        </w:rPr>
      </w:pPr>
      <w:r>
        <w:rPr>
          <w:rFonts w:hint="eastAsia"/>
          <w:highlight w:val="none"/>
        </w:rPr>
        <w:t>综上所述，根据评分标准，数量指标实际得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“质量指标”下设二个三级指标“设施设备采购率”和“设施设备合格率”。</w:t>
      </w:r>
    </w:p>
    <w:p>
      <w:pPr>
        <w:ind w:firstLine="640"/>
        <w:rPr>
          <w:highlight w:val="none"/>
        </w:rPr>
      </w:pPr>
      <w:r>
        <w:rPr>
          <w:rFonts w:hint="eastAsia"/>
          <w:highlight w:val="none"/>
        </w:rPr>
        <w:t>根</w:t>
      </w:r>
      <w:r>
        <w:rPr>
          <w:rFonts w:hint="eastAsia" w:ascii="仿宋" w:hAnsi="仿宋" w:eastAsia="仿宋" w:cs="仿宋"/>
          <w:sz w:val="32"/>
          <w:szCs w:val="32"/>
          <w:highlight w:val="none"/>
        </w:rPr>
        <w:t>据指标要求，</w:t>
      </w:r>
      <w:r>
        <w:rPr>
          <w:rFonts w:hint="eastAsia" w:ascii="仿宋" w:hAnsi="仿宋" w:eastAsia="仿宋" w:cs="仿宋"/>
          <w:i w:val="0"/>
          <w:iCs w:val="0"/>
          <w:caps w:val="0"/>
          <w:color w:val="3D3D3D"/>
          <w:spacing w:val="0"/>
          <w:sz w:val="32"/>
          <w:szCs w:val="32"/>
          <w:highlight w:val="none"/>
          <w:shd w:val="clear" w:fill="FFFFFF"/>
          <w:lang w:val="en-US" w:eastAsia="zh-CN"/>
        </w:rPr>
        <w:t>2021年中央补助地方公共文化服务体系</w:t>
      </w:r>
      <w:r>
        <w:rPr>
          <w:rFonts w:hint="eastAsia"/>
          <w:highlight w:val="none"/>
        </w:rPr>
        <w:t>设施设备采购</w:t>
      </w:r>
      <w:r>
        <w:rPr>
          <w:rFonts w:hint="eastAsia"/>
          <w:highlight w:val="none"/>
          <w:lang w:eastAsia="zh-CN"/>
        </w:rPr>
        <w:t>完成</w:t>
      </w:r>
      <w:r>
        <w:rPr>
          <w:rFonts w:hint="eastAsia" w:ascii="仿宋" w:hAnsi="仿宋" w:eastAsia="仿宋" w:cs="仿宋"/>
          <w:sz w:val="32"/>
          <w:szCs w:val="32"/>
          <w:highlight w:val="none"/>
        </w:rPr>
        <w:t>率需达到100%，</w:t>
      </w:r>
      <w:r>
        <w:rPr>
          <w:rFonts w:hint="eastAsia"/>
          <w:highlight w:val="none"/>
        </w:rPr>
        <w:t>项目完工，</w:t>
      </w:r>
      <w:r>
        <w:rPr>
          <w:rFonts w:hint="eastAsia"/>
          <w:highlight w:val="none"/>
          <w:lang w:eastAsia="zh-CN"/>
        </w:rPr>
        <w:t>已</w:t>
      </w:r>
      <w:r>
        <w:rPr>
          <w:rFonts w:hint="eastAsia"/>
          <w:highlight w:val="none"/>
        </w:rPr>
        <w:t>验收，该指标标准分值为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分。2</w:t>
      </w:r>
      <w:r>
        <w:rPr>
          <w:highlight w:val="none"/>
        </w:rPr>
        <w:t>02</w:t>
      </w:r>
      <w:r>
        <w:rPr>
          <w:rFonts w:hint="eastAsia"/>
          <w:highlight w:val="none"/>
          <w:lang w:val="en-US" w:eastAsia="zh-CN"/>
        </w:rPr>
        <w:t>1</w:t>
      </w:r>
      <w:r>
        <w:rPr>
          <w:rFonts w:hint="eastAsia"/>
          <w:highlight w:val="none"/>
        </w:rPr>
        <w:t>年设施设备合格率</w:t>
      </w:r>
      <w:r>
        <w:rPr>
          <w:rFonts w:hint="eastAsia"/>
          <w:highlight w:val="none"/>
          <w:lang w:eastAsia="zh-CN"/>
        </w:rPr>
        <w:t>为</w:t>
      </w:r>
      <w:r>
        <w:rPr>
          <w:rFonts w:hint="eastAsia"/>
          <w:highlight w:val="none"/>
          <w:lang w:val="en-US" w:eastAsia="zh-CN"/>
        </w:rPr>
        <w:t>100%</w:t>
      </w:r>
      <w:r>
        <w:rPr>
          <w:rFonts w:hint="eastAsia"/>
          <w:highlight w:val="none"/>
        </w:rPr>
        <w:t>，该项指标标准分值为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w:t>
      </w:r>
      <w:r>
        <w:rPr>
          <w:rFonts w:hint="eastAsia"/>
          <w:highlight w:val="none"/>
          <w:lang w:eastAsia="zh-CN"/>
        </w:rPr>
        <w:t>二</w:t>
      </w:r>
      <w:r>
        <w:rPr>
          <w:rFonts w:hint="eastAsia"/>
          <w:highlight w:val="none"/>
        </w:rPr>
        <w:t>个三级指标“采购完成时间”</w:t>
      </w:r>
      <w:r>
        <w:rPr>
          <w:rFonts w:hint="eastAsia"/>
          <w:highlight w:val="none"/>
          <w:lang w:eastAsia="zh-CN"/>
        </w:rPr>
        <w:t>、“</w:t>
      </w:r>
      <w:r>
        <w:rPr>
          <w:rFonts w:hint="eastAsia"/>
          <w:highlight w:val="none"/>
        </w:rPr>
        <w:t>设备投入运行时间</w:t>
      </w:r>
      <w:r>
        <w:rPr>
          <w:rFonts w:hint="eastAsia"/>
          <w:highlight w:val="none"/>
          <w:lang w:eastAsia="zh-CN"/>
        </w:rPr>
        <w:t>”</w:t>
      </w:r>
      <w:r>
        <w:rPr>
          <w:rFonts w:hint="eastAsia"/>
          <w:highlight w:val="none"/>
        </w:rPr>
        <w:t>。</w:t>
      </w:r>
    </w:p>
    <w:p>
      <w:pPr>
        <w:ind w:firstLine="640"/>
        <w:rPr>
          <w:rFonts w:hint="eastAsia"/>
          <w:highlight w:val="none"/>
        </w:rPr>
      </w:pPr>
      <w:r>
        <w:rPr>
          <w:rFonts w:hint="eastAsia"/>
          <w:sz w:val="32"/>
          <w:szCs w:val="32"/>
          <w:highlight w:val="none"/>
        </w:rPr>
        <w:t>根据指</w:t>
      </w:r>
      <w:r>
        <w:rPr>
          <w:rFonts w:hint="eastAsia" w:ascii="仿宋" w:hAnsi="仿宋" w:eastAsia="仿宋" w:cs="仿宋"/>
          <w:sz w:val="32"/>
          <w:szCs w:val="32"/>
          <w:highlight w:val="none"/>
        </w:rPr>
        <w:t>标要求，</w:t>
      </w:r>
      <w:r>
        <w:rPr>
          <w:rFonts w:hint="eastAsia" w:cs="仿宋"/>
          <w:i w:val="0"/>
          <w:iCs w:val="0"/>
          <w:caps w:val="0"/>
          <w:color w:val="3D3D3D"/>
          <w:spacing w:val="0"/>
          <w:sz w:val="32"/>
          <w:szCs w:val="32"/>
          <w:highlight w:val="none"/>
          <w:shd w:val="clear" w:fill="FFFFFF"/>
          <w:lang w:val="en-US" w:eastAsia="zh-CN"/>
        </w:rPr>
        <w:t>设施设备</w:t>
      </w:r>
      <w:r>
        <w:rPr>
          <w:rFonts w:hint="eastAsia" w:cs="仿宋"/>
          <w:sz w:val="32"/>
          <w:szCs w:val="32"/>
          <w:highlight w:val="none"/>
          <w:lang w:eastAsia="zh-CN"/>
        </w:rPr>
        <w:t>采购完成时间</w:t>
      </w:r>
      <w:r>
        <w:rPr>
          <w:rFonts w:hint="eastAsia" w:ascii="仿宋" w:hAnsi="仿宋" w:eastAsia="仿宋" w:cs="仿宋"/>
          <w:sz w:val="32"/>
          <w:szCs w:val="32"/>
          <w:highlight w:val="none"/>
        </w:rPr>
        <w:t>为202</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w:t>
      </w:r>
      <w:r>
        <w:rPr>
          <w:rFonts w:hint="eastAsia"/>
          <w:highlight w:val="none"/>
          <w:lang w:val="en-US" w:eastAsia="zh-CN"/>
        </w:rPr>
        <w:t>2</w:t>
      </w:r>
      <w:r>
        <w:rPr>
          <w:highlight w:val="none"/>
        </w:rPr>
        <w:t>月3</w:t>
      </w:r>
      <w:r>
        <w:rPr>
          <w:rFonts w:hint="eastAsia"/>
          <w:highlight w:val="none"/>
          <w:lang w:val="en-US" w:eastAsia="zh-CN"/>
        </w:rPr>
        <w:t>1</w:t>
      </w:r>
      <w:r>
        <w:rPr>
          <w:highlight w:val="none"/>
        </w:rPr>
        <w:t>日</w:t>
      </w:r>
      <w:r>
        <w:rPr>
          <w:rFonts w:hint="eastAsia"/>
          <w:highlight w:val="none"/>
          <w:lang w:eastAsia="zh-CN"/>
        </w:rPr>
        <w:t>前</w:t>
      </w:r>
      <w:r>
        <w:rPr>
          <w:rFonts w:hint="eastAsia"/>
          <w:highlight w:val="none"/>
        </w:rPr>
        <w:t>，</w:t>
      </w:r>
      <w:bookmarkStart w:id="49" w:name="_Hlk79160389"/>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日，项目</w:t>
      </w:r>
      <w:r>
        <w:rPr>
          <w:rFonts w:hint="eastAsia"/>
          <w:highlight w:val="none"/>
          <w:lang w:eastAsia="zh-CN"/>
        </w:rPr>
        <w:t>采购完成</w:t>
      </w:r>
      <w:r>
        <w:rPr>
          <w:rFonts w:hint="eastAsia"/>
          <w:highlight w:val="none"/>
        </w:rPr>
        <w:t>，符合要求，该指标标准分值为</w:t>
      </w:r>
      <w:r>
        <w:rPr>
          <w:rFonts w:hint="eastAsia"/>
          <w:highlight w:val="none"/>
          <w:lang w:val="en-US" w:eastAsia="zh-CN"/>
        </w:rPr>
        <w:t>7</w:t>
      </w:r>
      <w:r>
        <w:rPr>
          <w:highlight w:val="none"/>
        </w:rPr>
        <w:t>分，得分为</w:t>
      </w:r>
      <w:r>
        <w:rPr>
          <w:rFonts w:hint="eastAsia"/>
          <w:highlight w:val="none"/>
          <w:lang w:val="en-US" w:eastAsia="zh-CN"/>
        </w:rPr>
        <w:t>7</w:t>
      </w:r>
      <w:r>
        <w:rPr>
          <w:highlight w:val="none"/>
        </w:rPr>
        <w:t>分</w:t>
      </w:r>
      <w:r>
        <w:rPr>
          <w:rFonts w:hint="eastAsia"/>
          <w:highlight w:val="none"/>
        </w:rPr>
        <w:t>。</w:t>
      </w:r>
      <w:r>
        <w:rPr>
          <w:rFonts w:hint="eastAsia" w:cs="仿宋"/>
          <w:i w:val="0"/>
          <w:iCs w:val="0"/>
          <w:caps w:val="0"/>
          <w:color w:val="3D3D3D"/>
          <w:spacing w:val="0"/>
          <w:sz w:val="32"/>
          <w:szCs w:val="32"/>
          <w:highlight w:val="none"/>
          <w:shd w:val="clear" w:fill="FFFFFF"/>
          <w:lang w:val="en-US" w:eastAsia="zh-CN"/>
        </w:rPr>
        <w:t>设备</w:t>
      </w:r>
      <w:r>
        <w:rPr>
          <w:rFonts w:hint="eastAsia" w:cs="仿宋"/>
          <w:sz w:val="32"/>
          <w:szCs w:val="32"/>
          <w:highlight w:val="none"/>
          <w:lang w:eastAsia="zh-CN"/>
        </w:rPr>
        <w:t>投入运行时间</w:t>
      </w:r>
      <w:r>
        <w:rPr>
          <w:rFonts w:hint="eastAsia" w:ascii="仿宋" w:hAnsi="仿宋" w:eastAsia="仿宋" w:cs="仿宋"/>
          <w:sz w:val="32"/>
          <w:szCs w:val="32"/>
          <w:highlight w:val="none"/>
        </w:rPr>
        <w:t>为202</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w:t>
      </w:r>
      <w:r>
        <w:rPr>
          <w:rFonts w:hint="eastAsia"/>
          <w:highlight w:val="none"/>
          <w:lang w:val="en-US" w:eastAsia="zh-CN"/>
        </w:rPr>
        <w:t>2</w:t>
      </w:r>
      <w:r>
        <w:rPr>
          <w:highlight w:val="none"/>
        </w:rPr>
        <w:t>月3</w:t>
      </w:r>
      <w:r>
        <w:rPr>
          <w:rFonts w:hint="eastAsia"/>
          <w:highlight w:val="none"/>
          <w:lang w:val="en-US" w:eastAsia="zh-CN"/>
        </w:rPr>
        <w:t>1</w:t>
      </w:r>
      <w:r>
        <w:rPr>
          <w:highlight w:val="none"/>
        </w:rPr>
        <w:t>日</w:t>
      </w:r>
      <w:r>
        <w:rPr>
          <w:rFonts w:hint="eastAsia"/>
          <w:highlight w:val="none"/>
          <w:lang w:eastAsia="zh-CN"/>
        </w:rPr>
        <w:t>前</w:t>
      </w: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日，2</w:t>
      </w:r>
      <w:r>
        <w:rPr>
          <w:highlight w:val="none"/>
        </w:rPr>
        <w:t>02</w:t>
      </w:r>
      <w:r>
        <w:rPr>
          <w:rFonts w:hint="eastAsia"/>
          <w:highlight w:val="none"/>
          <w:lang w:val="en-US" w:eastAsia="zh-CN"/>
        </w:rPr>
        <w:t>1</w:t>
      </w:r>
      <w:r>
        <w:rPr>
          <w:rFonts w:hint="eastAsia"/>
          <w:highlight w:val="none"/>
        </w:rPr>
        <w:t>年设施设备正常运行，该项指标标准分值为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p>
    <w:p>
      <w:pPr>
        <w:ind w:firstLine="640"/>
        <w:rPr>
          <w:rFonts w:hint="eastAsia"/>
          <w:highlight w:val="green"/>
        </w:rPr>
      </w:pPr>
      <w:r>
        <w:rPr>
          <w:rFonts w:hint="eastAsia"/>
          <w:highlight w:val="none"/>
        </w:rPr>
        <w:t>综上所述，根据评分标准，时效指标实际得</w:t>
      </w:r>
      <w:r>
        <w:rPr>
          <w:rFonts w:hint="eastAsia"/>
          <w:highlight w:val="none"/>
          <w:lang w:val="en-US" w:eastAsia="zh-CN"/>
        </w:rPr>
        <w:t>14</w:t>
      </w:r>
      <w:r>
        <w:rPr>
          <w:highlight w:val="none"/>
        </w:rPr>
        <w:t>分。</w:t>
      </w:r>
    </w:p>
    <w:bookmarkEnd w:id="49"/>
    <w:p>
      <w:pPr>
        <w:ind w:firstLine="640"/>
        <w:rPr>
          <w:highlight w:val="none"/>
        </w:rPr>
      </w:pPr>
      <w:r>
        <w:rPr>
          <w:rFonts w:hint="eastAsia"/>
          <w:highlight w:val="none"/>
        </w:rPr>
        <w:t>（4）成本指标</w:t>
      </w:r>
    </w:p>
    <w:p>
      <w:pPr>
        <w:ind w:firstLine="640"/>
        <w:rPr>
          <w:rFonts w:hint="eastAsia"/>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72.04</w:t>
      </w:r>
      <w:r>
        <w:rPr>
          <w:rFonts w:hint="eastAsia"/>
          <w:highlight w:val="none"/>
        </w:rPr>
        <w:t>万元，实际支出</w:t>
      </w:r>
      <w:r>
        <w:rPr>
          <w:rFonts w:hint="eastAsia"/>
          <w:highlight w:val="none"/>
          <w:lang w:val="en-US" w:eastAsia="zh-CN"/>
        </w:rPr>
        <w:t>72.04</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2</w:t>
      </w:r>
      <w:r>
        <w:rPr>
          <w:rFonts w:hint="eastAsia"/>
          <w:highlight w:val="none"/>
        </w:rPr>
        <w:t>分，得</w:t>
      </w:r>
      <w:r>
        <w:rPr>
          <w:highlight w:val="none"/>
        </w:rPr>
        <w:t>1</w:t>
      </w:r>
      <w:r>
        <w:rPr>
          <w:rFonts w:hint="eastAsia"/>
          <w:highlight w:val="none"/>
          <w:lang w:val="en-US" w:eastAsia="zh-CN"/>
        </w:rPr>
        <w:t>2</w:t>
      </w:r>
      <w:r>
        <w:rPr>
          <w:rFonts w:hint="eastAsia"/>
          <w:highlight w:val="none"/>
        </w:rPr>
        <w:t>分。</w:t>
      </w:r>
      <w:bookmarkStart w:id="50" w:name="_Toc79333448"/>
    </w:p>
    <w:p>
      <w:pPr>
        <w:ind w:firstLine="640"/>
        <w:rPr>
          <w:rFonts w:hint="eastAsia"/>
          <w:highlight w:val="green"/>
        </w:rPr>
      </w:pPr>
      <w:r>
        <w:rPr>
          <w:rFonts w:hint="eastAsia"/>
          <w:highlight w:val="none"/>
        </w:rPr>
        <w:t>综上所述，根据评分标准，成本指标实际得</w:t>
      </w:r>
      <w:r>
        <w:rPr>
          <w:rFonts w:hint="eastAsia"/>
          <w:highlight w:val="none"/>
          <w:lang w:val="en-US" w:eastAsia="zh-CN"/>
        </w:rPr>
        <w:t>12</w:t>
      </w:r>
      <w:r>
        <w:rPr>
          <w:highlight w:val="none"/>
        </w:rPr>
        <w:t>分。</w:t>
      </w:r>
    </w:p>
    <w:p>
      <w:pPr>
        <w:ind w:firstLine="640"/>
        <w:rPr>
          <w:highlight w:val="none"/>
        </w:rPr>
      </w:pPr>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pStyle w:val="16"/>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“社会效益”下设</w:t>
      </w:r>
      <w:r>
        <w:rPr>
          <w:rFonts w:hint="eastAsia" w:ascii="仿宋" w:hAnsi="仿宋" w:eastAsia="仿宋" w:cs="仿宋"/>
          <w:sz w:val="32"/>
          <w:szCs w:val="32"/>
          <w:highlight w:val="none"/>
          <w:lang w:eastAsia="zh-CN"/>
        </w:rPr>
        <w:t>二个</w:t>
      </w:r>
      <w:r>
        <w:rPr>
          <w:rFonts w:hint="eastAsia" w:ascii="仿宋" w:hAnsi="仿宋" w:eastAsia="仿宋" w:cs="仿宋"/>
          <w:sz w:val="32"/>
          <w:szCs w:val="32"/>
          <w:highlight w:val="none"/>
        </w:rPr>
        <w:t>三级指标“提升公共服务水平”</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提升媒体服务能力</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2021年中央补助地方公共文化服务体系已经</w:t>
      </w:r>
      <w:r>
        <w:rPr>
          <w:rFonts w:hint="eastAsia" w:ascii="仿宋" w:hAnsi="仿宋" w:eastAsia="仿宋" w:cs="仿宋"/>
          <w:sz w:val="32"/>
          <w:szCs w:val="32"/>
          <w:highlight w:val="none"/>
        </w:rPr>
        <w:t>完工，投入使用，</w:t>
      </w:r>
      <w:r>
        <w:rPr>
          <w:rFonts w:hint="eastAsia" w:ascii="仿宋" w:hAnsi="仿宋" w:eastAsia="仿宋" w:cs="仿宋"/>
          <w:sz w:val="32"/>
          <w:szCs w:val="32"/>
          <w:highlight w:val="none"/>
          <w:lang w:eastAsia="zh-CN"/>
        </w:rPr>
        <w:t>已</w:t>
      </w:r>
      <w:r>
        <w:rPr>
          <w:rFonts w:hint="eastAsia" w:ascii="仿宋" w:hAnsi="仿宋" w:eastAsia="仿宋" w:cs="仿宋"/>
          <w:sz w:val="32"/>
          <w:szCs w:val="32"/>
          <w:highlight w:val="none"/>
        </w:rPr>
        <w:t>产生社会效益，</w:t>
      </w:r>
      <w:r>
        <w:rPr>
          <w:rFonts w:hint="eastAsia" w:ascii="仿宋" w:hAnsi="仿宋" w:eastAsia="仿宋" w:cs="仿宋"/>
          <w:sz w:val="32"/>
          <w:szCs w:val="32"/>
          <w:highlight w:val="none"/>
          <w:lang w:eastAsia="zh-CN"/>
        </w:rPr>
        <w:t>达到</w:t>
      </w:r>
      <w:r>
        <w:rPr>
          <w:rFonts w:hint="eastAsia" w:ascii="仿宋" w:hAnsi="仿宋" w:eastAsia="仿宋" w:cs="仿宋"/>
          <w:sz w:val="32"/>
          <w:szCs w:val="32"/>
          <w:highlight w:val="none"/>
        </w:rPr>
        <w:t>提升公共服务水平</w:t>
      </w:r>
      <w:r>
        <w:rPr>
          <w:rFonts w:hint="eastAsia" w:ascii="仿宋" w:hAnsi="仿宋" w:eastAsia="仿宋" w:cs="仿宋"/>
          <w:sz w:val="32"/>
          <w:szCs w:val="32"/>
          <w:highlight w:val="none"/>
          <w:lang w:eastAsia="zh-CN"/>
        </w:rPr>
        <w:t>的</w:t>
      </w:r>
      <w:r>
        <w:rPr>
          <w:rFonts w:hint="eastAsia" w:cs="仿宋"/>
          <w:sz w:val="32"/>
          <w:szCs w:val="32"/>
          <w:highlight w:val="none"/>
          <w:lang w:eastAsia="zh-CN"/>
        </w:rPr>
        <w:t>预期指标，</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达到</w:t>
      </w:r>
      <w:r>
        <w:rPr>
          <w:rFonts w:hint="eastAsia" w:ascii="仿宋" w:hAnsi="仿宋" w:eastAsia="仿宋" w:cs="仿宋"/>
          <w:sz w:val="32"/>
          <w:szCs w:val="32"/>
          <w:highlight w:val="none"/>
        </w:rPr>
        <w:t>提升媒体服务能力</w:t>
      </w:r>
      <w:r>
        <w:rPr>
          <w:rFonts w:hint="eastAsia" w:ascii="仿宋" w:hAnsi="仿宋" w:eastAsia="仿宋" w:cs="仿宋"/>
          <w:sz w:val="32"/>
          <w:szCs w:val="32"/>
          <w:highlight w:val="none"/>
          <w:lang w:eastAsia="zh-CN"/>
        </w:rPr>
        <w:t>的</w:t>
      </w:r>
      <w:r>
        <w:rPr>
          <w:rFonts w:hint="eastAsia" w:cs="仿宋"/>
          <w:sz w:val="32"/>
          <w:szCs w:val="32"/>
          <w:highlight w:val="none"/>
          <w:lang w:eastAsia="zh-CN"/>
        </w:rPr>
        <w:t>预期指标，</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分。</w:t>
      </w:r>
    </w:p>
    <w:p>
      <w:pPr>
        <w:ind w:firstLine="640"/>
        <w:rPr>
          <w:rFonts w:hint="eastAsia"/>
          <w:highlight w:val="green"/>
        </w:rPr>
      </w:pPr>
      <w:r>
        <w:rPr>
          <w:rFonts w:hint="eastAsia"/>
          <w:highlight w:val="none"/>
        </w:rPr>
        <w:t>综上所述，根据评分标准，社会效益实际得</w:t>
      </w:r>
      <w:r>
        <w:rPr>
          <w:rFonts w:hint="eastAsia"/>
          <w:highlight w:val="none"/>
          <w:lang w:val="en-US" w:eastAsia="zh-CN"/>
        </w:rPr>
        <w:t>15</w:t>
      </w:r>
      <w:r>
        <w:rPr>
          <w:highlight w:val="none"/>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z w:val="32"/>
          <w:szCs w:val="32"/>
          <w:highlight w:val="none"/>
        </w:rPr>
      </w:pPr>
    </w:p>
    <w:p>
      <w:pPr>
        <w:ind w:firstLine="640"/>
        <w:rPr>
          <w:rFonts w:hint="eastAsia" w:eastAsia="仿宋"/>
          <w:sz w:val="32"/>
          <w:szCs w:val="32"/>
          <w:highlight w:val="none"/>
          <w:lang w:val="en-US" w:eastAsia="zh-CN"/>
        </w:rPr>
      </w:pPr>
      <w:r>
        <w:rPr>
          <w:rFonts w:hint="eastAsia"/>
          <w:highlight w:val="none"/>
        </w:rPr>
        <w:t>（</w:t>
      </w:r>
      <w:r>
        <w:rPr>
          <w:highlight w:val="none"/>
        </w:rPr>
        <w:t>2</w:t>
      </w:r>
      <w:r>
        <w:rPr>
          <w:rFonts w:hint="eastAsia"/>
          <w:highlight w:val="none"/>
        </w:rPr>
        <w:t>）可持续影响</w:t>
      </w:r>
    </w:p>
    <w:p>
      <w:pPr>
        <w:ind w:firstLine="640"/>
        <w:rPr>
          <w:rFonts w:hint="eastAsia"/>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2021年中央补助地方公共文化服务体系</w:t>
      </w:r>
      <w:r>
        <w:rPr>
          <w:rFonts w:hint="eastAsia"/>
          <w:sz w:val="32"/>
          <w:szCs w:val="32"/>
          <w:highlight w:val="none"/>
        </w:rPr>
        <w:t>完工</w:t>
      </w:r>
      <w:r>
        <w:rPr>
          <w:rFonts w:hint="eastAsia"/>
          <w:highlight w:val="none"/>
        </w:rPr>
        <w:t>，</w:t>
      </w:r>
      <w:r>
        <w:rPr>
          <w:rFonts w:hint="eastAsia"/>
          <w:highlight w:val="none"/>
          <w:lang w:eastAsia="zh-CN"/>
        </w:rPr>
        <w:t>能持续提升新闻宣传质量</w:t>
      </w:r>
      <w:r>
        <w:rPr>
          <w:rFonts w:hint="eastAsia"/>
          <w:highlight w:val="none"/>
        </w:rPr>
        <w:t>具有可持续影响效益，该指标标准分值为</w:t>
      </w:r>
      <w:r>
        <w:rPr>
          <w:rFonts w:hint="eastAsia"/>
          <w:highlight w:val="none"/>
          <w:lang w:val="en-US" w:eastAsia="zh-CN"/>
        </w:rPr>
        <w:t>8</w:t>
      </w:r>
      <w:r>
        <w:rPr>
          <w:rFonts w:hint="eastAsia"/>
          <w:highlight w:val="none"/>
        </w:rPr>
        <w:t>分，实际综合得分为</w:t>
      </w:r>
      <w:r>
        <w:rPr>
          <w:rFonts w:hint="eastAsia"/>
          <w:highlight w:val="none"/>
          <w:lang w:val="en-US" w:eastAsia="zh-CN"/>
        </w:rPr>
        <w:t>8</w:t>
      </w:r>
      <w:r>
        <w:rPr>
          <w:rFonts w:hint="eastAsia"/>
          <w:highlight w:val="none"/>
        </w:rPr>
        <w:t>分。</w:t>
      </w:r>
      <w:r>
        <w:rPr>
          <w:rFonts w:hint="eastAsia"/>
          <w:highlight w:val="none"/>
          <w:lang w:eastAsia="zh-CN"/>
        </w:rPr>
        <w:t>能</w:t>
      </w:r>
      <w:r>
        <w:rPr>
          <w:rFonts w:hint="eastAsia"/>
          <w:highlight w:val="none"/>
        </w:rPr>
        <w:t>持续引导社会思潮，促进社会发展具有可持续影响效益，该指标标准分值为</w:t>
      </w:r>
      <w:r>
        <w:rPr>
          <w:rFonts w:hint="eastAsia"/>
          <w:highlight w:val="none"/>
          <w:lang w:val="en-US" w:eastAsia="zh-CN"/>
        </w:rPr>
        <w:t>7</w:t>
      </w:r>
      <w:r>
        <w:rPr>
          <w:rFonts w:hint="eastAsia"/>
          <w:highlight w:val="none"/>
        </w:rPr>
        <w:t>分，实际综合得分为</w:t>
      </w:r>
      <w:r>
        <w:rPr>
          <w:rFonts w:hint="eastAsia"/>
          <w:highlight w:val="none"/>
          <w:lang w:val="en-US" w:eastAsia="zh-CN"/>
        </w:rPr>
        <w:t>7</w:t>
      </w:r>
      <w:r>
        <w:rPr>
          <w:rFonts w:hint="eastAsia"/>
          <w:highlight w:val="none"/>
        </w:rPr>
        <w:t>分。</w:t>
      </w:r>
    </w:p>
    <w:p>
      <w:pPr>
        <w:ind w:firstLine="640"/>
        <w:rPr>
          <w:rFonts w:hint="eastAsia"/>
          <w:highlight w:val="none"/>
        </w:rPr>
      </w:pPr>
      <w:r>
        <w:rPr>
          <w:rFonts w:hint="eastAsia"/>
          <w:highlight w:val="none"/>
        </w:rPr>
        <w:t>综上所述，根据评分标准，可持续影响指标实际得</w:t>
      </w:r>
      <w:r>
        <w:rPr>
          <w:rFonts w:hint="eastAsia"/>
          <w:highlight w:val="none"/>
          <w:lang w:val="en-US" w:eastAsia="zh-CN"/>
        </w:rPr>
        <w:t>15</w:t>
      </w:r>
      <w:r>
        <w:rPr>
          <w:highlight w:val="none"/>
        </w:rPr>
        <w:t>分。</w:t>
      </w:r>
    </w:p>
    <w:p>
      <w:pPr>
        <w:pStyle w:val="4"/>
        <w:ind w:left="0" w:leftChars="0" w:firstLine="643" w:firstLineChars="200"/>
        <w:rPr>
          <w:highlight w:val="none"/>
        </w:rPr>
      </w:pPr>
      <w:bookmarkStart w:id="51" w:name="_Toc79333449"/>
      <w:r>
        <w:rPr>
          <w:highlight w:val="none"/>
        </w:rPr>
        <w:t>4、满意度指标分析</w:t>
      </w:r>
      <w:bookmarkEnd w:id="51"/>
    </w:p>
    <w:p>
      <w:pPr>
        <w:ind w:firstLine="640"/>
        <w:rPr>
          <w:highlight w:val="none"/>
        </w:rPr>
      </w:pPr>
      <w:bookmarkStart w:id="52" w:name="_Toc79333450"/>
      <w:bookmarkStart w:id="53" w:name="_Toc29830"/>
      <w:r>
        <w:rPr>
          <w:rFonts w:hint="eastAsia"/>
          <w:highlight w:val="none"/>
        </w:rPr>
        <w:t>本项目调查</w:t>
      </w:r>
      <w:r>
        <w:rPr>
          <w:rFonts w:hint="eastAsia"/>
          <w:highlight w:val="none"/>
          <w:lang w:eastAsia="zh-CN"/>
        </w:rPr>
        <w:t>全县</w:t>
      </w:r>
      <w:r>
        <w:rPr>
          <w:rFonts w:hint="eastAsia"/>
          <w:highlight w:val="none"/>
        </w:rPr>
        <w:t>受益人群</w:t>
      </w:r>
      <w:r>
        <w:rPr>
          <w:rFonts w:hint="eastAsia"/>
          <w:highlight w:val="none"/>
          <w:lang w:val="en-US" w:eastAsia="zh-CN"/>
        </w:rPr>
        <w:t>1160</w:t>
      </w:r>
      <w:r>
        <w:rPr>
          <w:rFonts w:hint="eastAsia"/>
          <w:highlight w:val="none"/>
        </w:rPr>
        <w:t>人，发放调查问卷</w:t>
      </w:r>
      <w:r>
        <w:rPr>
          <w:rFonts w:hint="eastAsia"/>
          <w:highlight w:val="none"/>
          <w:lang w:val="en-US" w:eastAsia="zh-CN"/>
        </w:rPr>
        <w:t>1160</w:t>
      </w:r>
      <w:r>
        <w:rPr>
          <w:rFonts w:hint="eastAsia"/>
          <w:highlight w:val="none"/>
        </w:rPr>
        <w:t>份，回收</w:t>
      </w:r>
      <w:r>
        <w:rPr>
          <w:rFonts w:hint="eastAsia"/>
          <w:highlight w:val="none"/>
          <w:lang w:val="en-US" w:eastAsia="zh-CN"/>
        </w:rPr>
        <w:t>1123</w:t>
      </w:r>
      <w:r>
        <w:rPr>
          <w:rFonts w:hint="eastAsia"/>
          <w:highlight w:val="none"/>
        </w:rPr>
        <w:t>份，其中有效问卷</w:t>
      </w:r>
      <w:r>
        <w:rPr>
          <w:rFonts w:hint="eastAsia"/>
          <w:highlight w:val="none"/>
          <w:lang w:val="en-US" w:eastAsia="zh-CN"/>
        </w:rPr>
        <w:t>1120</w:t>
      </w:r>
      <w:r>
        <w:rPr>
          <w:rFonts w:hint="eastAsia"/>
          <w:highlight w:val="none"/>
        </w:rPr>
        <w:t>份。其中非常满意人数</w:t>
      </w:r>
      <w:r>
        <w:rPr>
          <w:rFonts w:hint="eastAsia"/>
          <w:highlight w:val="none"/>
          <w:lang w:val="en-US" w:eastAsia="zh-CN"/>
        </w:rPr>
        <w:t>332</w:t>
      </w:r>
      <w:r>
        <w:rPr>
          <w:rFonts w:hint="eastAsia"/>
          <w:highlight w:val="none"/>
        </w:rPr>
        <w:t>人，满意</w:t>
      </w:r>
      <w:r>
        <w:rPr>
          <w:rFonts w:hint="eastAsia"/>
          <w:highlight w:val="none"/>
          <w:lang w:val="en-US" w:eastAsia="zh-CN"/>
        </w:rPr>
        <w:t>765</w:t>
      </w:r>
      <w:r>
        <w:rPr>
          <w:rFonts w:hint="eastAsia"/>
          <w:highlight w:val="none"/>
        </w:rPr>
        <w:t>人，不满意</w:t>
      </w:r>
      <w:r>
        <w:rPr>
          <w:rFonts w:hint="eastAsia"/>
          <w:highlight w:val="none"/>
          <w:lang w:val="en-US" w:eastAsia="zh-CN"/>
        </w:rPr>
        <w:t>23</w:t>
      </w:r>
      <w:r>
        <w:rPr>
          <w:rFonts w:hint="eastAsia"/>
          <w:highlight w:val="none"/>
        </w:rPr>
        <w:t>人，综合满意度为</w:t>
      </w:r>
      <w:r>
        <w:rPr>
          <w:rFonts w:hint="eastAsia"/>
          <w:highlight w:val="none"/>
          <w:lang w:val="en-US" w:eastAsia="zh-CN"/>
        </w:rPr>
        <w:t>98</w:t>
      </w:r>
      <w:r>
        <w:rPr>
          <w:rFonts w:hint="eastAsia"/>
          <w:highlight w:val="none"/>
        </w:rPr>
        <w:t>%，根据评分标准，该项指标标准分值10分，得分为</w:t>
      </w:r>
      <w:r>
        <w:rPr>
          <w:rFonts w:hint="eastAsia"/>
          <w:highlight w:val="none"/>
          <w:lang w:val="en-US" w:eastAsia="zh-CN"/>
        </w:rPr>
        <w:t>1</w:t>
      </w:r>
      <w:r>
        <w:rPr>
          <w:rFonts w:hint="eastAsia"/>
          <w:highlight w:val="none"/>
        </w:rPr>
        <w:t>0分。</w:t>
      </w:r>
    </w:p>
    <w:p>
      <w:pPr>
        <w:pStyle w:val="2"/>
        <w:rPr>
          <w:highlight w:val="none"/>
        </w:rPr>
      </w:pPr>
      <w:bookmarkStart w:id="54" w:name="_Toc19599"/>
      <w:r>
        <w:rPr>
          <w:rFonts w:hint="eastAsia"/>
          <w:highlight w:val="none"/>
        </w:rPr>
        <w:t>四、成果和问题</w:t>
      </w:r>
      <w:bookmarkEnd w:id="52"/>
      <w:bookmarkEnd w:id="53"/>
      <w:bookmarkEnd w:id="54"/>
    </w:p>
    <w:p>
      <w:pPr>
        <w:pStyle w:val="3"/>
        <w:rPr>
          <w:highlight w:val="none"/>
        </w:rPr>
      </w:pPr>
      <w:bookmarkStart w:id="55" w:name="_Toc79333451"/>
      <w:bookmarkStart w:id="56" w:name="_Toc13830"/>
      <w:r>
        <w:rPr>
          <w:rFonts w:hint="eastAsia"/>
          <w:highlight w:val="none"/>
        </w:rPr>
        <w:t>（一）项目实施的成果</w:t>
      </w:r>
      <w:bookmarkEnd w:id="55"/>
      <w:bookmarkEnd w:id="56"/>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7" w:name="_Toc79333452"/>
      <w:bookmarkStart w:id="58" w:name="_Toc30399"/>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79333453"/>
      <w:bookmarkStart w:id="60" w:name="_Toc27227"/>
      <w:bookmarkStart w:id="61" w:name="_Toc29674"/>
      <w:r>
        <w:rPr>
          <w:rFonts w:hint="eastAsia"/>
          <w:highlight w:val="none"/>
        </w:rPr>
        <w:t>五、建议</w:t>
      </w:r>
      <w:bookmarkEnd w:id="59"/>
      <w:bookmarkEnd w:id="60"/>
      <w:bookmarkEnd w:id="61"/>
    </w:p>
    <w:p>
      <w:pPr>
        <w:pStyle w:val="3"/>
        <w:rPr>
          <w:highlight w:val="none"/>
        </w:rPr>
      </w:pPr>
      <w:bookmarkStart w:id="62" w:name="_Toc79333454"/>
      <w:bookmarkStart w:id="63" w:name="_Toc23126"/>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79333455"/>
      <w:bookmarkStart w:id="65" w:name="_Toc31098"/>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6" w:name="_Toc665"/>
      <w:bookmarkStart w:id="67" w:name="_Toc79333457"/>
      <w:bookmarkStart w:id="68" w:name="_Toc8261"/>
      <w:r>
        <w:rPr>
          <w:rFonts w:hint="eastAsia"/>
          <w:highlight w:val="none"/>
        </w:rPr>
        <w:t>六、其他需要说明的问题</w:t>
      </w:r>
      <w:bookmarkEnd w:id="66"/>
      <w:bookmarkEnd w:id="67"/>
      <w:bookmarkEnd w:id="68"/>
    </w:p>
    <w:p>
      <w:pPr>
        <w:ind w:firstLine="640"/>
        <w:rPr>
          <w:rFonts w:hint="eastAsia" w:eastAsia="仿宋"/>
          <w:highlight w:val="none"/>
          <w:lang w:eastAsia="zh-CN"/>
        </w:rPr>
      </w:pPr>
      <w:r>
        <w:rPr>
          <w:rFonts w:hint="eastAsia"/>
          <w:highlight w:val="none"/>
        </w:rPr>
        <w:t>无</w:t>
      </w:r>
      <w:r>
        <w:rPr>
          <w:rFonts w:hint="eastAsia"/>
          <w:highlight w:val="none"/>
          <w:lang w:eastAsia="zh-CN"/>
        </w:rPr>
        <w:t>、</w:t>
      </w:r>
    </w:p>
    <w:p>
      <w:pPr>
        <w:pStyle w:val="2"/>
        <w:rPr>
          <w:highlight w:val="none"/>
        </w:rPr>
      </w:pPr>
      <w:bookmarkStart w:id="69" w:name="_Toc61882435"/>
      <w:bookmarkStart w:id="70" w:name="_Toc62030119"/>
      <w:bookmarkStart w:id="71" w:name="_Toc79333458"/>
      <w:bookmarkStart w:id="72" w:name="_Toc75871379"/>
      <w:bookmarkStart w:id="73" w:name="_Toc27887"/>
      <w:r>
        <w:rPr>
          <w:rFonts w:hint="eastAsia"/>
          <w:highlight w:val="none"/>
        </w:rPr>
        <w:t>七、附件</w:t>
      </w:r>
      <w:bookmarkEnd w:id="69"/>
      <w:bookmarkEnd w:id="70"/>
      <w:bookmarkEnd w:id="71"/>
      <w:bookmarkEnd w:id="72"/>
      <w:bookmarkEnd w:id="73"/>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4" w:name="_Toc75871380"/>
      <w:bookmarkStart w:id="75" w:name="_Toc6854"/>
      <w:bookmarkStart w:id="76" w:name="_Toc79333459"/>
      <w:bookmarkStart w:id="77" w:name="_Toc61882642"/>
      <w:bookmarkStart w:id="78" w:name="_Toc62030120"/>
      <w:r>
        <w:rPr>
          <w:rFonts w:hint="eastAsia"/>
          <w:highlight w:val="none"/>
        </w:rPr>
        <w:t>附件一：项目绩效自评表</w:t>
      </w:r>
      <w:bookmarkEnd w:id="74"/>
      <w:bookmarkEnd w:id="75"/>
      <w:bookmarkEnd w:id="76"/>
      <w:bookmarkEnd w:id="77"/>
      <w:bookmarkEnd w:id="78"/>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8A215D"/>
    <w:rsid w:val="039E4574"/>
    <w:rsid w:val="03C660F1"/>
    <w:rsid w:val="042B4352"/>
    <w:rsid w:val="06832727"/>
    <w:rsid w:val="06DD5138"/>
    <w:rsid w:val="07D72202"/>
    <w:rsid w:val="09034D82"/>
    <w:rsid w:val="0EE02FCE"/>
    <w:rsid w:val="11D14067"/>
    <w:rsid w:val="146F5819"/>
    <w:rsid w:val="19BD3412"/>
    <w:rsid w:val="1B002515"/>
    <w:rsid w:val="1BA50EE0"/>
    <w:rsid w:val="1BFD39D5"/>
    <w:rsid w:val="1CBF4C66"/>
    <w:rsid w:val="1D457829"/>
    <w:rsid w:val="21032E75"/>
    <w:rsid w:val="2449572C"/>
    <w:rsid w:val="2636356A"/>
    <w:rsid w:val="28577A06"/>
    <w:rsid w:val="2AE845D1"/>
    <w:rsid w:val="2BDA7ED3"/>
    <w:rsid w:val="30FD39D4"/>
    <w:rsid w:val="340A4177"/>
    <w:rsid w:val="356A6637"/>
    <w:rsid w:val="358D1218"/>
    <w:rsid w:val="36007476"/>
    <w:rsid w:val="360509BD"/>
    <w:rsid w:val="37044BCB"/>
    <w:rsid w:val="37360FC5"/>
    <w:rsid w:val="390B472B"/>
    <w:rsid w:val="3B080524"/>
    <w:rsid w:val="408C5853"/>
    <w:rsid w:val="441E6300"/>
    <w:rsid w:val="4E992DD9"/>
    <w:rsid w:val="50C37060"/>
    <w:rsid w:val="51621973"/>
    <w:rsid w:val="533F163E"/>
    <w:rsid w:val="55F834F4"/>
    <w:rsid w:val="5A09069F"/>
    <w:rsid w:val="5CD42C71"/>
    <w:rsid w:val="5EC073E2"/>
    <w:rsid w:val="611B0B6F"/>
    <w:rsid w:val="63BF54E2"/>
    <w:rsid w:val="65091475"/>
    <w:rsid w:val="65A17FA7"/>
    <w:rsid w:val="666D63A3"/>
    <w:rsid w:val="69312D5B"/>
    <w:rsid w:val="6ABB68E5"/>
    <w:rsid w:val="6BCE3108"/>
    <w:rsid w:val="70493BA2"/>
    <w:rsid w:val="74AD3F2D"/>
    <w:rsid w:val="75BB1238"/>
    <w:rsid w:val="77753743"/>
    <w:rsid w:val="789E7920"/>
    <w:rsid w:val="7BEC119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3946</Words>
  <Characters>4169</Characters>
  <Lines>42</Lines>
  <Paragraphs>11</Paragraphs>
  <TotalTime>0</TotalTime>
  <ScaleCrop>false</ScaleCrop>
  <LinksUpToDate>false</LinksUpToDate>
  <CharactersWithSpaces>4198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2022-09-06T02:06:33Z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