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6"/>
        <w:rPr>
          <w:highlight w:val="none"/>
        </w:rPr>
      </w:pPr>
      <w:bookmarkStart w:id="0" w:name="_Toc11908"/>
    </w:p>
    <w:p>
      <w:pPr>
        <w:ind w:firstLine="0" w:firstLineChars="0"/>
        <w:jc w:val="center"/>
        <w:rPr>
          <w:rFonts w:ascii="宋体" w:hAnsi="宋体" w:eastAsia="宋体"/>
          <w:b/>
          <w:sz w:val="52"/>
          <w:szCs w:val="52"/>
          <w:highlight w:val="none"/>
        </w:rPr>
      </w:pPr>
    </w:p>
    <w:p>
      <w:pPr>
        <w:pStyle w:val="24"/>
        <w:rPr>
          <w:rFonts w:ascii="宋体" w:hAnsi="宋体" w:cs="宋体"/>
          <w:sz w:val="52"/>
          <w:szCs w:val="52"/>
          <w:highlight w:val="none"/>
        </w:rPr>
      </w:pPr>
      <w:r>
        <w:rPr>
          <w:rFonts w:hint="eastAsia" w:ascii="宋体" w:hAnsi="宋体" w:cs="宋体"/>
          <w:i w:val="0"/>
          <w:iCs w:val="0"/>
          <w:caps w:val="0"/>
          <w:color w:val="3D3D3D"/>
          <w:spacing w:val="0"/>
          <w:sz w:val="52"/>
          <w:szCs w:val="52"/>
          <w:highlight w:val="none"/>
          <w:shd w:val="clear" w:color="auto" w:fill="FFFFFF"/>
          <w:lang w:val="en-US" w:eastAsia="zh-CN"/>
        </w:rPr>
        <w:t>工作</w:t>
      </w:r>
      <w:r>
        <w:rPr>
          <w:rFonts w:hint="eastAsia" w:ascii="宋体" w:hAnsi="宋体" w:eastAsia="宋体" w:cs="宋体"/>
          <w:i w:val="0"/>
          <w:iCs w:val="0"/>
          <w:caps w:val="0"/>
          <w:color w:val="3D3D3D"/>
          <w:spacing w:val="0"/>
          <w:sz w:val="52"/>
          <w:szCs w:val="52"/>
          <w:highlight w:val="none"/>
          <w:shd w:val="clear" w:color="auto" w:fill="FFFFFF"/>
          <w:lang w:val="en-US" w:eastAsia="zh-CN"/>
        </w:rPr>
        <w:t>经费</w:t>
      </w:r>
      <w:r>
        <w:rPr>
          <w:rFonts w:hint="eastAsia" w:ascii="宋体" w:hAnsi="宋体" w:cs="宋体"/>
          <w:sz w:val="52"/>
          <w:szCs w:val="52"/>
          <w:highlight w:val="none"/>
        </w:rPr>
        <w:t>项目</w:t>
      </w:r>
    </w:p>
    <w:p>
      <w:pPr>
        <w:pStyle w:val="24"/>
        <w:rPr>
          <w:rFonts w:ascii="宋体" w:hAnsi="宋体" w:cs="宋体"/>
          <w:highlight w:val="none"/>
        </w:rPr>
      </w:pPr>
      <w:r>
        <w:rPr>
          <w:rFonts w:hint="eastAsia" w:ascii="宋体" w:hAnsi="宋体" w:cs="宋体"/>
          <w:sz w:val="52"/>
          <w:szCs w:val="52"/>
          <w:highlight w:val="none"/>
        </w:rPr>
        <w:t>支出绩效自评总结报告</w:t>
      </w:r>
    </w:p>
    <w:p>
      <w:pPr>
        <w:ind w:firstLine="0" w:firstLineChars="0"/>
        <w:jc w:val="center"/>
        <w:rPr>
          <w:rFonts w:ascii="宋体" w:hAnsi="宋体" w:eastAsia="宋体"/>
          <w:b/>
          <w:sz w:val="52"/>
          <w:szCs w:val="52"/>
          <w:highlight w:val="none"/>
        </w:rPr>
      </w:pPr>
    </w:p>
    <w:p>
      <w:pPr>
        <w:ind w:firstLine="0" w:firstLineChars="0"/>
        <w:jc w:val="center"/>
        <w:rPr>
          <w:highlight w:val="none"/>
        </w:rPr>
      </w:pPr>
    </w:p>
    <w:p>
      <w:pPr>
        <w:ind w:firstLine="0" w:firstLineChars="0"/>
        <w:jc w:val="center"/>
        <w:rPr>
          <w:rFonts w:ascii="宋体" w:hAnsi="宋体" w:eastAsia="宋体"/>
          <w:b/>
          <w:sz w:val="52"/>
          <w:szCs w:val="52"/>
          <w:highlight w:val="none"/>
        </w:rPr>
      </w:pPr>
    </w:p>
    <w:p>
      <w:pPr>
        <w:pStyle w:val="26"/>
        <w:rPr>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36"/>
          <w:szCs w:val="36"/>
          <w:highlight w:val="none"/>
        </w:rPr>
      </w:pPr>
    </w:p>
    <w:p>
      <w:pPr>
        <w:ind w:firstLine="0" w:firstLineChars="0"/>
        <w:jc w:val="center"/>
        <w:rPr>
          <w:rFonts w:ascii="宋体" w:hAnsi="宋体" w:eastAsia="宋体"/>
          <w:b/>
          <w:sz w:val="36"/>
          <w:szCs w:val="36"/>
          <w:highlight w:val="none"/>
        </w:rPr>
      </w:pPr>
    </w:p>
    <w:p>
      <w:pPr>
        <w:ind w:firstLine="0" w:firstLineChars="0"/>
        <w:jc w:val="center"/>
        <w:rPr>
          <w:rFonts w:ascii="宋体" w:hAnsi="宋体" w:eastAsia="宋体"/>
          <w:b/>
          <w:sz w:val="36"/>
          <w:szCs w:val="36"/>
          <w:highlight w:val="none"/>
        </w:rPr>
      </w:pPr>
    </w:p>
    <w:p>
      <w:pPr>
        <w:ind w:firstLine="0" w:firstLineChars="0"/>
        <w:jc w:val="center"/>
        <w:rPr>
          <w:rFonts w:hint="eastAsia" w:ascii="宋体" w:hAnsi="宋体" w:eastAsia="宋体"/>
          <w:b/>
          <w:highlight w:val="none"/>
          <w:lang w:eastAsia="zh-CN"/>
        </w:rPr>
      </w:pPr>
      <w:r>
        <w:rPr>
          <w:rFonts w:hint="eastAsia" w:ascii="宋体" w:hAnsi="宋体" w:eastAsia="宋体"/>
          <w:b/>
          <w:highlight w:val="none"/>
        </w:rPr>
        <w:t>自评单位：</w:t>
      </w:r>
      <w:r>
        <w:rPr>
          <w:rFonts w:hint="eastAsia" w:ascii="宋体" w:hAnsi="宋体" w:eastAsia="宋体"/>
          <w:b/>
          <w:highlight w:val="none"/>
          <w:lang w:eastAsia="zh-CN"/>
        </w:rPr>
        <w:t>太康县融媒体中心</w:t>
      </w:r>
    </w:p>
    <w:p>
      <w:pPr>
        <w:ind w:firstLine="0" w:firstLineChars="0"/>
        <w:jc w:val="center"/>
        <w:rPr>
          <w:highlight w:val="none"/>
        </w:rPr>
        <w:sectPr>
          <w:pgSz w:w="11906" w:h="16838"/>
          <w:pgMar w:top="1440" w:right="1800" w:bottom="1440" w:left="1800" w:header="851" w:footer="992" w:gutter="0"/>
          <w:pgNumType w:fmt="decimal"/>
          <w:cols w:space="425" w:num="1"/>
          <w:docGrid w:type="lines" w:linePitch="312" w:charSpace="0"/>
        </w:sectPr>
      </w:pPr>
      <w:r>
        <w:rPr>
          <w:rFonts w:hint="eastAsia" w:ascii="宋体" w:hAnsi="宋体" w:eastAsia="宋体"/>
          <w:b/>
          <w:highlight w:val="none"/>
        </w:rPr>
        <w:t>日</w:t>
      </w:r>
      <w:r>
        <w:rPr>
          <w:rFonts w:ascii="宋体" w:hAnsi="宋体" w:eastAsia="宋体"/>
          <w:b/>
          <w:highlight w:val="none"/>
        </w:rPr>
        <w:t xml:space="preserve">    </w:t>
      </w:r>
      <w:r>
        <w:rPr>
          <w:rFonts w:hint="eastAsia" w:ascii="宋体" w:hAnsi="宋体" w:eastAsia="宋体"/>
          <w:b/>
          <w:highlight w:val="none"/>
        </w:rPr>
        <w:t>期：</w:t>
      </w:r>
      <w:r>
        <w:rPr>
          <w:rFonts w:hint="eastAsia" w:ascii="宋体" w:hAnsi="宋体" w:eastAsia="宋体"/>
          <w:b/>
          <w:highlight w:val="none"/>
          <w:lang w:val="en-US" w:eastAsia="zh-CN"/>
        </w:rPr>
        <w:t>2022</w:t>
      </w:r>
      <w:r>
        <w:rPr>
          <w:rFonts w:hint="eastAsia" w:ascii="宋体" w:hAnsi="宋体" w:eastAsia="宋体"/>
          <w:b/>
          <w:highlight w:val="none"/>
        </w:rPr>
        <w:t>年</w:t>
      </w:r>
      <w:r>
        <w:rPr>
          <w:rFonts w:hint="eastAsia" w:ascii="宋体" w:hAnsi="宋体" w:eastAsia="宋体"/>
          <w:b/>
          <w:bCs w:val="0"/>
          <w:highlight w:val="none"/>
          <w:lang w:val="en-US" w:eastAsia="zh-CN"/>
        </w:rPr>
        <w:t>5</w:t>
      </w:r>
      <w:r>
        <w:rPr>
          <w:rFonts w:hint="eastAsia" w:ascii="仿宋" w:hAnsi="仿宋" w:eastAsia="仿宋" w:cs="仿宋"/>
          <w:b/>
          <w:bCs w:val="0"/>
          <w:sz w:val="32"/>
          <w:szCs w:val="32"/>
          <w:highlight w:val="none"/>
        </w:rPr>
        <w:t>月</w:t>
      </w:r>
      <w:r>
        <w:rPr>
          <w:rFonts w:hint="eastAsia" w:ascii="仿宋" w:hAnsi="仿宋" w:eastAsia="仿宋" w:cs="仿宋"/>
          <w:b/>
          <w:bCs w:val="0"/>
          <w:sz w:val="32"/>
          <w:szCs w:val="32"/>
          <w:highlight w:val="none"/>
          <w:lang w:val="en-US" w:eastAsia="zh-CN"/>
        </w:rPr>
        <w:t>10日</w:t>
      </w:r>
    </w:p>
    <w:p>
      <w:pPr>
        <w:ind w:firstLine="0" w:firstLineChars="0"/>
        <w:jc w:val="center"/>
        <w:rPr>
          <w:b/>
          <w:bCs/>
          <w:highlight w:val="none"/>
        </w:rPr>
      </w:pPr>
      <w:r>
        <w:rPr>
          <w:rFonts w:hint="eastAsia"/>
          <w:b/>
          <w:bCs/>
          <w:sz w:val="36"/>
          <w:szCs w:val="36"/>
          <w:highlight w:val="none"/>
        </w:rPr>
        <w:t>目</w:t>
      </w:r>
      <w:r>
        <w:rPr>
          <w:b/>
          <w:bCs/>
          <w:sz w:val="36"/>
          <w:szCs w:val="36"/>
          <w:highlight w:val="none"/>
        </w:rPr>
        <w:t xml:space="preserve"> </w:t>
      </w:r>
      <w:r>
        <w:rPr>
          <w:rFonts w:hint="eastAsia"/>
          <w:b/>
          <w:bCs/>
          <w:sz w:val="36"/>
          <w:szCs w:val="36"/>
          <w:highlight w:val="none"/>
        </w:rPr>
        <w:t xml:space="preserve"> 录</w:t>
      </w:r>
    </w:p>
    <w:p>
      <w:pPr>
        <w:pStyle w:val="10"/>
        <w:tabs>
          <w:tab w:val="right" w:leader="dot" w:pos="8306"/>
          <w:tab w:val="clear" w:pos="8296"/>
        </w:tabs>
      </w:pPr>
      <w:r>
        <w:rPr>
          <w:highlight w:val="none"/>
        </w:rPr>
        <w:fldChar w:fldCharType="begin"/>
      </w:r>
      <w:r>
        <w:rPr>
          <w:highlight w:val="none"/>
        </w:rPr>
        <w:instrText xml:space="preserve">TOC \o "1-2" \h \u </w:instrText>
      </w:r>
      <w:r>
        <w:rPr>
          <w:highlight w:val="none"/>
        </w:rPr>
        <w:fldChar w:fldCharType="separate"/>
      </w:r>
      <w:r>
        <w:rPr>
          <w:highlight w:val="none"/>
        </w:rPr>
        <w:fldChar w:fldCharType="begin"/>
      </w:r>
      <w:r>
        <w:rPr>
          <w:highlight w:val="none"/>
        </w:rPr>
        <w:instrText xml:space="preserve"> HYPERLINK \l _Toc3307 </w:instrText>
      </w:r>
      <w:r>
        <w:rPr>
          <w:highlight w:val="none"/>
        </w:rPr>
        <w:fldChar w:fldCharType="separate"/>
      </w:r>
      <w:r>
        <w:rPr>
          <w:rFonts w:hint="eastAsia"/>
          <w:highlight w:val="none"/>
        </w:rPr>
        <w:t>一、项目基本情况</w:t>
      </w:r>
      <w:r>
        <w:tab/>
      </w:r>
      <w:r>
        <w:fldChar w:fldCharType="begin"/>
      </w:r>
      <w:r>
        <w:instrText xml:space="preserve"> PAGEREF _Toc3307 \h </w:instrText>
      </w:r>
      <w:r>
        <w:fldChar w:fldCharType="separate"/>
      </w:r>
      <w:r>
        <w:t>1</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_Toc10778 </w:instrText>
      </w:r>
      <w:r>
        <w:rPr>
          <w:highlight w:val="none"/>
        </w:rPr>
        <w:fldChar w:fldCharType="separate"/>
      </w:r>
      <w:r>
        <w:rPr>
          <w:rFonts w:hint="eastAsia"/>
          <w:highlight w:val="none"/>
        </w:rPr>
        <w:t>（一）项目基本信息</w:t>
      </w:r>
      <w:r>
        <w:tab/>
      </w:r>
      <w:r>
        <w:fldChar w:fldCharType="begin"/>
      </w:r>
      <w:r>
        <w:instrText xml:space="preserve"> PAGEREF _Toc10778 \h </w:instrText>
      </w:r>
      <w:r>
        <w:fldChar w:fldCharType="separate"/>
      </w:r>
      <w:r>
        <w:t>1</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_Toc2236 </w:instrText>
      </w:r>
      <w:r>
        <w:rPr>
          <w:highlight w:val="none"/>
        </w:rPr>
        <w:fldChar w:fldCharType="separate"/>
      </w:r>
      <w:r>
        <w:rPr>
          <w:rFonts w:hint="eastAsia"/>
          <w:highlight w:val="none"/>
        </w:rPr>
        <w:t>（二）项目支出情况</w:t>
      </w:r>
      <w:r>
        <w:tab/>
      </w:r>
      <w:r>
        <w:fldChar w:fldCharType="begin"/>
      </w:r>
      <w:r>
        <w:instrText xml:space="preserve"> PAGEREF _Toc2236 \h </w:instrText>
      </w:r>
      <w:r>
        <w:fldChar w:fldCharType="separate"/>
      </w:r>
      <w:r>
        <w:t>1</w:t>
      </w:r>
      <w:r>
        <w:fldChar w:fldCharType="end"/>
      </w:r>
      <w:r>
        <w:rPr>
          <w:highlight w:val="none"/>
        </w:rPr>
        <w:fldChar w:fldCharType="end"/>
      </w:r>
    </w:p>
    <w:p>
      <w:pPr>
        <w:pStyle w:val="10"/>
        <w:tabs>
          <w:tab w:val="right" w:leader="dot" w:pos="8306"/>
          <w:tab w:val="clear" w:pos="8296"/>
        </w:tabs>
      </w:pPr>
      <w:r>
        <w:rPr>
          <w:highlight w:val="none"/>
        </w:rPr>
        <w:fldChar w:fldCharType="begin"/>
      </w:r>
      <w:r>
        <w:rPr>
          <w:highlight w:val="none"/>
        </w:rPr>
        <w:instrText xml:space="preserve"> HYPERLINK \l _Toc2615 </w:instrText>
      </w:r>
      <w:r>
        <w:rPr>
          <w:highlight w:val="none"/>
        </w:rPr>
        <w:fldChar w:fldCharType="separate"/>
      </w:r>
      <w:r>
        <w:rPr>
          <w:rFonts w:hint="eastAsia"/>
          <w:highlight w:val="none"/>
        </w:rPr>
        <w:t>二、绩效自评工作开展情况</w:t>
      </w:r>
      <w:r>
        <w:tab/>
      </w:r>
      <w:r>
        <w:fldChar w:fldCharType="begin"/>
      </w:r>
      <w:r>
        <w:instrText xml:space="preserve"> PAGEREF _Toc2615 \h </w:instrText>
      </w:r>
      <w:r>
        <w:fldChar w:fldCharType="separate"/>
      </w:r>
      <w:r>
        <w:t>1</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_Toc11728 </w:instrText>
      </w:r>
      <w:r>
        <w:rPr>
          <w:highlight w:val="none"/>
        </w:rPr>
        <w:fldChar w:fldCharType="separate"/>
      </w:r>
      <w:r>
        <w:rPr>
          <w:rFonts w:hint="eastAsia"/>
          <w:highlight w:val="none"/>
        </w:rPr>
        <w:t>（一）绩效自评价目的和意义</w:t>
      </w:r>
      <w:r>
        <w:tab/>
      </w:r>
      <w:r>
        <w:fldChar w:fldCharType="begin"/>
      </w:r>
      <w:r>
        <w:instrText xml:space="preserve"> PAGEREF _Toc11728 \h </w:instrText>
      </w:r>
      <w:r>
        <w:fldChar w:fldCharType="separate"/>
      </w:r>
      <w:r>
        <w:t>1</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_Toc2651 </w:instrText>
      </w:r>
      <w:r>
        <w:rPr>
          <w:highlight w:val="none"/>
        </w:rPr>
        <w:fldChar w:fldCharType="separate"/>
      </w:r>
      <w:r>
        <w:rPr>
          <w:rFonts w:hint="eastAsia"/>
          <w:highlight w:val="none"/>
        </w:rPr>
        <w:t>（二）绩效自评价对象和范围</w:t>
      </w:r>
      <w:r>
        <w:tab/>
      </w:r>
      <w:r>
        <w:fldChar w:fldCharType="begin"/>
      </w:r>
      <w:r>
        <w:instrText xml:space="preserve"> PAGEREF _Toc2651 \h </w:instrText>
      </w:r>
      <w:r>
        <w:fldChar w:fldCharType="separate"/>
      </w:r>
      <w:r>
        <w:t>2</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_Toc8300 </w:instrText>
      </w:r>
      <w:r>
        <w:rPr>
          <w:highlight w:val="none"/>
        </w:rPr>
        <w:fldChar w:fldCharType="separate"/>
      </w:r>
      <w:r>
        <w:rPr>
          <w:rFonts w:hint="eastAsia"/>
          <w:highlight w:val="none"/>
        </w:rPr>
        <w:t>（三）绩效评价的依据</w:t>
      </w:r>
      <w:r>
        <w:tab/>
      </w:r>
      <w:r>
        <w:fldChar w:fldCharType="begin"/>
      </w:r>
      <w:r>
        <w:instrText xml:space="preserve"> PAGEREF _Toc8300 \h </w:instrText>
      </w:r>
      <w:r>
        <w:fldChar w:fldCharType="separate"/>
      </w:r>
      <w:r>
        <w:t>2</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_Toc5650 </w:instrText>
      </w:r>
      <w:r>
        <w:rPr>
          <w:highlight w:val="none"/>
        </w:rPr>
        <w:fldChar w:fldCharType="separate"/>
      </w:r>
      <w:r>
        <w:rPr>
          <w:rFonts w:hint="eastAsia"/>
          <w:highlight w:val="none"/>
        </w:rPr>
        <w:t>（四）评分方法</w:t>
      </w:r>
      <w:r>
        <w:tab/>
      </w:r>
      <w:r>
        <w:fldChar w:fldCharType="begin"/>
      </w:r>
      <w:r>
        <w:instrText xml:space="preserve"> PAGEREF _Toc5650 \h </w:instrText>
      </w:r>
      <w:r>
        <w:fldChar w:fldCharType="separate"/>
      </w:r>
      <w:r>
        <w:t>2</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_Toc7361 </w:instrText>
      </w:r>
      <w:r>
        <w:rPr>
          <w:highlight w:val="none"/>
        </w:rPr>
        <w:fldChar w:fldCharType="separate"/>
      </w:r>
      <w:r>
        <w:rPr>
          <w:rFonts w:hint="eastAsia"/>
          <w:highlight w:val="none"/>
        </w:rPr>
        <w:t>（五）绩效自评工作组织</w:t>
      </w:r>
      <w:r>
        <w:tab/>
      </w:r>
      <w:r>
        <w:fldChar w:fldCharType="begin"/>
      </w:r>
      <w:r>
        <w:instrText xml:space="preserve"> PAGEREF _Toc7361 \h </w:instrText>
      </w:r>
      <w:r>
        <w:fldChar w:fldCharType="separate"/>
      </w:r>
      <w:r>
        <w:t>3</w:t>
      </w:r>
      <w:r>
        <w:fldChar w:fldCharType="end"/>
      </w:r>
      <w:r>
        <w:rPr>
          <w:highlight w:val="none"/>
        </w:rPr>
        <w:fldChar w:fldCharType="end"/>
      </w:r>
    </w:p>
    <w:p>
      <w:pPr>
        <w:pStyle w:val="10"/>
        <w:tabs>
          <w:tab w:val="right" w:leader="dot" w:pos="8306"/>
          <w:tab w:val="clear" w:pos="8296"/>
        </w:tabs>
      </w:pPr>
      <w:r>
        <w:rPr>
          <w:highlight w:val="none"/>
        </w:rPr>
        <w:fldChar w:fldCharType="begin"/>
      </w:r>
      <w:r>
        <w:rPr>
          <w:highlight w:val="none"/>
        </w:rPr>
        <w:instrText xml:space="preserve"> HYPERLINK \l _Toc25663 </w:instrText>
      </w:r>
      <w:r>
        <w:rPr>
          <w:highlight w:val="none"/>
        </w:rPr>
        <w:fldChar w:fldCharType="separate"/>
      </w:r>
      <w:r>
        <w:rPr>
          <w:rFonts w:hint="eastAsia"/>
          <w:highlight w:val="none"/>
        </w:rPr>
        <w:t>三、绩效自评结果及分析</w:t>
      </w:r>
      <w:r>
        <w:tab/>
      </w:r>
      <w:r>
        <w:fldChar w:fldCharType="begin"/>
      </w:r>
      <w:r>
        <w:instrText xml:space="preserve"> PAGEREF _Toc25663 \h </w:instrText>
      </w:r>
      <w:r>
        <w:fldChar w:fldCharType="separate"/>
      </w:r>
      <w:r>
        <w:t>4</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_Toc981 </w:instrText>
      </w:r>
      <w:r>
        <w:rPr>
          <w:highlight w:val="none"/>
        </w:rPr>
        <w:fldChar w:fldCharType="separate"/>
      </w:r>
      <w:r>
        <w:rPr>
          <w:highlight w:val="none"/>
        </w:rPr>
        <w:t>（一）绩效自评价结果</w:t>
      </w:r>
      <w:r>
        <w:tab/>
      </w:r>
      <w:r>
        <w:fldChar w:fldCharType="begin"/>
      </w:r>
      <w:r>
        <w:instrText xml:space="preserve"> PAGEREF _Toc981 \h </w:instrText>
      </w:r>
      <w:r>
        <w:fldChar w:fldCharType="separate"/>
      </w:r>
      <w:r>
        <w:t>4</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_Toc26834 </w:instrText>
      </w:r>
      <w:r>
        <w:rPr>
          <w:highlight w:val="none"/>
        </w:rPr>
        <w:fldChar w:fldCharType="separate"/>
      </w:r>
      <w:r>
        <w:rPr>
          <w:rFonts w:hint="eastAsia"/>
          <w:highlight w:val="none"/>
        </w:rPr>
        <w:t>（二）自评指标分析</w:t>
      </w:r>
      <w:r>
        <w:tab/>
      </w:r>
      <w:r>
        <w:fldChar w:fldCharType="begin"/>
      </w:r>
      <w:r>
        <w:instrText xml:space="preserve"> PAGEREF _Toc26834 \h </w:instrText>
      </w:r>
      <w:r>
        <w:fldChar w:fldCharType="separate"/>
      </w:r>
      <w:r>
        <w:t>5</w:t>
      </w:r>
      <w:r>
        <w:fldChar w:fldCharType="end"/>
      </w:r>
      <w:r>
        <w:rPr>
          <w:highlight w:val="none"/>
        </w:rPr>
        <w:fldChar w:fldCharType="end"/>
      </w:r>
    </w:p>
    <w:p>
      <w:pPr>
        <w:pStyle w:val="10"/>
        <w:tabs>
          <w:tab w:val="right" w:leader="dot" w:pos="8306"/>
          <w:tab w:val="clear" w:pos="8296"/>
        </w:tabs>
      </w:pPr>
      <w:r>
        <w:rPr>
          <w:highlight w:val="none"/>
        </w:rPr>
        <w:fldChar w:fldCharType="begin"/>
      </w:r>
      <w:r>
        <w:rPr>
          <w:highlight w:val="none"/>
        </w:rPr>
        <w:instrText xml:space="preserve"> HYPERLINK \l _Toc3428 </w:instrText>
      </w:r>
      <w:r>
        <w:rPr>
          <w:highlight w:val="none"/>
        </w:rPr>
        <w:fldChar w:fldCharType="separate"/>
      </w:r>
      <w:r>
        <w:rPr>
          <w:rFonts w:hint="eastAsia"/>
          <w:highlight w:val="none"/>
        </w:rPr>
        <w:t>四、成果和问题</w:t>
      </w:r>
      <w:r>
        <w:tab/>
      </w:r>
      <w:r>
        <w:fldChar w:fldCharType="begin"/>
      </w:r>
      <w:r>
        <w:instrText xml:space="preserve"> PAGEREF _Toc3428 \h </w:instrText>
      </w:r>
      <w:r>
        <w:fldChar w:fldCharType="separate"/>
      </w:r>
      <w:r>
        <w:t>7</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_Toc30132 </w:instrText>
      </w:r>
      <w:r>
        <w:rPr>
          <w:highlight w:val="none"/>
        </w:rPr>
        <w:fldChar w:fldCharType="separate"/>
      </w:r>
      <w:r>
        <w:rPr>
          <w:rFonts w:hint="eastAsia"/>
          <w:highlight w:val="none"/>
        </w:rPr>
        <w:t>（一）项目实施的成果</w:t>
      </w:r>
      <w:r>
        <w:tab/>
      </w:r>
      <w:r>
        <w:fldChar w:fldCharType="begin"/>
      </w:r>
      <w:r>
        <w:instrText xml:space="preserve"> PAGEREF _Toc30132 \h </w:instrText>
      </w:r>
      <w:r>
        <w:fldChar w:fldCharType="separate"/>
      </w:r>
      <w:r>
        <w:t>7</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_Toc12176 </w:instrText>
      </w:r>
      <w:r>
        <w:rPr>
          <w:highlight w:val="none"/>
        </w:rPr>
        <w:fldChar w:fldCharType="separate"/>
      </w:r>
      <w:r>
        <w:rPr>
          <w:rFonts w:hint="eastAsia"/>
          <w:highlight w:val="none"/>
        </w:rPr>
        <w:t>（二）项目存在的问题</w:t>
      </w:r>
      <w:r>
        <w:tab/>
      </w:r>
      <w:r>
        <w:fldChar w:fldCharType="begin"/>
      </w:r>
      <w:r>
        <w:instrText xml:space="preserve"> PAGEREF _Toc12176 \h </w:instrText>
      </w:r>
      <w:r>
        <w:fldChar w:fldCharType="separate"/>
      </w:r>
      <w:r>
        <w:t>8</w:t>
      </w:r>
      <w:r>
        <w:fldChar w:fldCharType="end"/>
      </w:r>
      <w:r>
        <w:rPr>
          <w:highlight w:val="none"/>
        </w:rPr>
        <w:fldChar w:fldCharType="end"/>
      </w:r>
    </w:p>
    <w:p>
      <w:pPr>
        <w:pStyle w:val="10"/>
        <w:tabs>
          <w:tab w:val="right" w:leader="dot" w:pos="8306"/>
          <w:tab w:val="clear" w:pos="8296"/>
        </w:tabs>
      </w:pPr>
      <w:r>
        <w:rPr>
          <w:highlight w:val="none"/>
        </w:rPr>
        <w:fldChar w:fldCharType="begin"/>
      </w:r>
      <w:r>
        <w:rPr>
          <w:highlight w:val="none"/>
        </w:rPr>
        <w:instrText xml:space="preserve"> HYPERLINK \l _Toc26306 </w:instrText>
      </w:r>
      <w:r>
        <w:rPr>
          <w:highlight w:val="none"/>
        </w:rPr>
        <w:fldChar w:fldCharType="separate"/>
      </w:r>
      <w:r>
        <w:rPr>
          <w:rFonts w:hint="eastAsia"/>
          <w:highlight w:val="none"/>
        </w:rPr>
        <w:t>五、建议</w:t>
      </w:r>
      <w:r>
        <w:tab/>
      </w:r>
      <w:r>
        <w:fldChar w:fldCharType="begin"/>
      </w:r>
      <w:r>
        <w:instrText xml:space="preserve"> PAGEREF _Toc26306 \h </w:instrText>
      </w:r>
      <w:r>
        <w:fldChar w:fldCharType="separate"/>
      </w:r>
      <w:r>
        <w:t>8</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_Toc6982 </w:instrText>
      </w:r>
      <w:r>
        <w:rPr>
          <w:highlight w:val="none"/>
        </w:rPr>
        <w:fldChar w:fldCharType="separate"/>
      </w:r>
      <w:r>
        <w:rPr>
          <w:rFonts w:hint="eastAsia"/>
          <w:highlight w:val="none"/>
        </w:rPr>
        <w:t>（一）强化预算绩效管理意识，提升项目产出效益</w:t>
      </w:r>
      <w:r>
        <w:tab/>
      </w:r>
      <w:r>
        <w:fldChar w:fldCharType="begin"/>
      </w:r>
      <w:r>
        <w:instrText xml:space="preserve"> PAGEREF _Toc6982 \h </w:instrText>
      </w:r>
      <w:r>
        <w:fldChar w:fldCharType="separate"/>
      </w:r>
      <w:r>
        <w:t>8</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_Toc5661 </w:instrText>
      </w:r>
      <w:r>
        <w:rPr>
          <w:highlight w:val="none"/>
        </w:rPr>
        <w:fldChar w:fldCharType="separate"/>
      </w:r>
      <w:r>
        <w:rPr>
          <w:rFonts w:hint="eastAsia"/>
          <w:highlight w:val="none"/>
        </w:rPr>
        <w:t>（二）加强学习培训，进一步提高绩效管理水平</w:t>
      </w:r>
      <w:r>
        <w:tab/>
      </w:r>
      <w:r>
        <w:fldChar w:fldCharType="begin"/>
      </w:r>
      <w:r>
        <w:instrText xml:space="preserve"> PAGEREF _Toc5661 \h </w:instrText>
      </w:r>
      <w:r>
        <w:fldChar w:fldCharType="separate"/>
      </w:r>
      <w:r>
        <w:t>8</w:t>
      </w:r>
      <w:r>
        <w:fldChar w:fldCharType="end"/>
      </w:r>
      <w:r>
        <w:rPr>
          <w:highlight w:val="none"/>
        </w:rPr>
        <w:fldChar w:fldCharType="end"/>
      </w:r>
    </w:p>
    <w:p>
      <w:pPr>
        <w:pStyle w:val="10"/>
        <w:tabs>
          <w:tab w:val="right" w:leader="dot" w:pos="8306"/>
          <w:tab w:val="clear" w:pos="8296"/>
        </w:tabs>
      </w:pPr>
      <w:r>
        <w:rPr>
          <w:highlight w:val="none"/>
        </w:rPr>
        <w:fldChar w:fldCharType="begin"/>
      </w:r>
      <w:r>
        <w:rPr>
          <w:highlight w:val="none"/>
        </w:rPr>
        <w:instrText xml:space="preserve"> HYPERLINK \l _Toc10338 </w:instrText>
      </w:r>
      <w:r>
        <w:rPr>
          <w:highlight w:val="none"/>
        </w:rPr>
        <w:fldChar w:fldCharType="separate"/>
      </w:r>
      <w:r>
        <w:rPr>
          <w:rFonts w:hint="eastAsia"/>
          <w:highlight w:val="none"/>
        </w:rPr>
        <w:t>六、其他需要说明的问题</w:t>
      </w:r>
      <w:r>
        <w:tab/>
      </w:r>
      <w:r>
        <w:fldChar w:fldCharType="begin"/>
      </w:r>
      <w:r>
        <w:instrText xml:space="preserve"> PAGEREF _Toc10338 \h </w:instrText>
      </w:r>
      <w:r>
        <w:fldChar w:fldCharType="separate"/>
      </w:r>
      <w:r>
        <w:t>9</w:t>
      </w:r>
      <w:r>
        <w:fldChar w:fldCharType="end"/>
      </w:r>
      <w:r>
        <w:rPr>
          <w:highlight w:val="none"/>
        </w:rPr>
        <w:fldChar w:fldCharType="end"/>
      </w:r>
    </w:p>
    <w:p>
      <w:pPr>
        <w:pStyle w:val="10"/>
        <w:tabs>
          <w:tab w:val="right" w:leader="dot" w:pos="8306"/>
          <w:tab w:val="clear" w:pos="8296"/>
        </w:tabs>
      </w:pPr>
      <w:r>
        <w:rPr>
          <w:highlight w:val="none"/>
        </w:rPr>
        <w:fldChar w:fldCharType="begin"/>
      </w:r>
      <w:r>
        <w:rPr>
          <w:highlight w:val="none"/>
        </w:rPr>
        <w:instrText xml:space="preserve"> HYPERLINK \l _Toc17766 </w:instrText>
      </w:r>
      <w:r>
        <w:rPr>
          <w:highlight w:val="none"/>
        </w:rPr>
        <w:fldChar w:fldCharType="separate"/>
      </w:r>
      <w:r>
        <w:rPr>
          <w:rFonts w:hint="eastAsia"/>
          <w:highlight w:val="none"/>
        </w:rPr>
        <w:t>七、附件</w:t>
      </w:r>
      <w:r>
        <w:tab/>
      </w:r>
      <w:r>
        <w:fldChar w:fldCharType="begin"/>
      </w:r>
      <w:r>
        <w:instrText xml:space="preserve"> PAGEREF _Toc17766 \h </w:instrText>
      </w:r>
      <w:r>
        <w:fldChar w:fldCharType="separate"/>
      </w:r>
      <w:r>
        <w:t>9</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_Toc7757 </w:instrText>
      </w:r>
      <w:r>
        <w:rPr>
          <w:highlight w:val="none"/>
        </w:rPr>
        <w:fldChar w:fldCharType="separate"/>
      </w:r>
      <w:r>
        <w:rPr>
          <w:rFonts w:hint="eastAsia"/>
          <w:highlight w:val="none"/>
        </w:rPr>
        <w:t>附件一：项目绩效自评表</w:t>
      </w:r>
      <w:r>
        <w:tab/>
      </w:r>
      <w:r>
        <w:fldChar w:fldCharType="begin"/>
      </w:r>
      <w:r>
        <w:instrText xml:space="preserve"> PAGEREF _Toc7757 \h </w:instrText>
      </w:r>
      <w:r>
        <w:fldChar w:fldCharType="separate"/>
      </w:r>
      <w:r>
        <w:t>10</w:t>
      </w:r>
      <w:r>
        <w:fldChar w:fldCharType="end"/>
      </w:r>
      <w:r>
        <w:rPr>
          <w:highlight w:val="none"/>
        </w:rPr>
        <w:fldChar w:fldCharType="end"/>
      </w:r>
    </w:p>
    <w:p>
      <w:pPr>
        <w:ind w:firstLine="640"/>
        <w:rPr>
          <w:highlight w:val="none"/>
        </w:rPr>
        <w:sectPr>
          <w:footerReference r:id="rId5" w:type="default"/>
          <w:pgSz w:w="11906" w:h="16838"/>
          <w:pgMar w:top="1440" w:right="1800" w:bottom="1440" w:left="1800" w:header="851" w:footer="737" w:gutter="0"/>
          <w:pgNumType w:fmt="decimal" w:start="1"/>
          <w:cols w:space="425" w:num="1"/>
          <w:docGrid w:type="lines" w:linePitch="312" w:charSpace="0"/>
        </w:sectPr>
      </w:pPr>
      <w:r>
        <w:rPr>
          <w:highlight w:val="none"/>
        </w:rPr>
        <w:fldChar w:fldCharType="end"/>
      </w:r>
    </w:p>
    <w:p>
      <w:pPr>
        <w:pStyle w:val="2"/>
        <w:rPr>
          <w:highlight w:val="none"/>
        </w:rPr>
      </w:pPr>
      <w:bookmarkStart w:id="1" w:name="_Toc79333430"/>
      <w:bookmarkStart w:id="2" w:name="_Toc3307"/>
      <w:r>
        <w:rPr>
          <w:rFonts w:hint="eastAsia"/>
          <w:highlight w:val="none"/>
        </w:rPr>
        <w:t>一、项目基本情况</w:t>
      </w:r>
      <w:bookmarkEnd w:id="0"/>
      <w:bookmarkEnd w:id="1"/>
      <w:bookmarkEnd w:id="2"/>
    </w:p>
    <w:p>
      <w:pPr>
        <w:pStyle w:val="3"/>
        <w:rPr>
          <w:highlight w:val="none"/>
        </w:rPr>
      </w:pPr>
      <w:bookmarkStart w:id="3" w:name="_Toc79333431"/>
      <w:bookmarkStart w:id="4" w:name="_Toc8110"/>
      <w:bookmarkStart w:id="5" w:name="_Toc10778"/>
      <w:r>
        <w:rPr>
          <w:rFonts w:hint="eastAsia"/>
          <w:highlight w:val="none"/>
        </w:rPr>
        <w:t>（一）项目基本信息</w:t>
      </w:r>
      <w:bookmarkEnd w:id="3"/>
      <w:bookmarkEnd w:id="4"/>
      <w:bookmarkEnd w:id="5"/>
    </w:p>
    <w:p>
      <w:pPr>
        <w:pStyle w:val="4"/>
        <w:ind w:firstLine="643"/>
        <w:rPr>
          <w:highlight w:val="none"/>
        </w:rPr>
      </w:pPr>
      <w:bookmarkStart w:id="6" w:name="_Toc79333432"/>
      <w:r>
        <w:rPr>
          <w:rFonts w:hint="eastAsia"/>
          <w:highlight w:val="none"/>
        </w:rPr>
        <w:t>1、项目背景</w:t>
      </w:r>
      <w:bookmarkEnd w:id="6"/>
    </w:p>
    <w:p>
      <w:pPr>
        <w:ind w:firstLine="640"/>
        <w:rPr>
          <w:rFonts w:hint="eastAsia" w:ascii="仿宋" w:hAnsi="仿宋" w:eastAsia="仿宋" w:cs="仿宋"/>
          <w:b w:val="0"/>
          <w:bCs w:val="0"/>
          <w:sz w:val="32"/>
          <w:szCs w:val="32"/>
          <w:highlight w:val="none"/>
          <w:lang w:val="en-US" w:eastAsia="zh-CN"/>
        </w:rPr>
      </w:pPr>
      <w:r>
        <w:rPr>
          <w:rFonts w:hint="eastAsia" w:ascii="仿宋" w:hAnsi="仿宋" w:eastAsia="仿宋" w:cs="仿宋"/>
          <w:sz w:val="32"/>
          <w:szCs w:val="32"/>
          <w:highlight w:val="none"/>
          <w:lang w:eastAsia="zh-CN"/>
        </w:rPr>
        <w:t>太康县融媒体中心是党的新闻舆论工作的重要阵地，是地方和政府的重要执政资源，是引导群众、服务群众的重要平台。只有及时、准确的进行新闻舆论的报道，才能更好地彰显太康经济社会发展成效及社会进步。</w:t>
      </w:r>
    </w:p>
    <w:p>
      <w:pPr>
        <w:pStyle w:val="4"/>
        <w:ind w:firstLine="643"/>
        <w:rPr>
          <w:highlight w:val="none"/>
        </w:rPr>
      </w:pPr>
      <w:bookmarkStart w:id="7" w:name="_Toc79333433"/>
      <w:r>
        <w:rPr>
          <w:rFonts w:hint="eastAsia"/>
          <w:highlight w:val="none"/>
        </w:rPr>
        <w:t>2、项目实施内容</w:t>
      </w:r>
      <w:bookmarkEnd w:id="7"/>
    </w:p>
    <w:p>
      <w:pPr>
        <w:ind w:firstLine="640"/>
        <w:rPr>
          <w:rFonts w:hint="eastAsia" w:ascii="仿宋" w:hAnsi="仿宋" w:eastAsia="仿宋" w:cs="仿宋"/>
          <w:sz w:val="32"/>
          <w:szCs w:val="32"/>
          <w:highlight w:val="none"/>
        </w:rPr>
      </w:pPr>
      <w:r>
        <w:rPr>
          <w:rFonts w:hint="eastAsia" w:ascii="仿宋" w:hAnsi="仿宋" w:eastAsia="仿宋" w:cs="仿宋"/>
          <w:sz w:val="32"/>
          <w:szCs w:val="32"/>
          <w:highlight w:val="none"/>
        </w:rPr>
        <w:t>本次项目实施内容主要</w:t>
      </w:r>
      <w:bookmarkStart w:id="8" w:name="_Toc14372"/>
      <w:r>
        <w:rPr>
          <w:rFonts w:hint="eastAsia" w:ascii="仿宋" w:hAnsi="仿宋" w:eastAsia="仿宋" w:cs="仿宋"/>
          <w:i w:val="0"/>
          <w:iCs w:val="0"/>
          <w:caps w:val="0"/>
          <w:color w:val="3D3D3D"/>
          <w:spacing w:val="0"/>
          <w:sz w:val="32"/>
          <w:szCs w:val="32"/>
          <w:highlight w:val="none"/>
          <w:shd w:val="clear" w:color="auto" w:fill="FFFFFF"/>
          <w:lang w:val="en-US" w:eastAsia="zh-CN"/>
        </w:rPr>
        <w:t>用于办公费、交通费、办公设备采购、业务费、其他支出等支出。</w:t>
      </w:r>
    </w:p>
    <w:p>
      <w:pPr>
        <w:pStyle w:val="3"/>
        <w:rPr>
          <w:highlight w:val="none"/>
        </w:rPr>
      </w:pPr>
      <w:bookmarkStart w:id="9" w:name="_Toc2236"/>
      <w:bookmarkStart w:id="10" w:name="_Toc79333434"/>
      <w:r>
        <w:rPr>
          <w:rFonts w:hint="eastAsia"/>
          <w:highlight w:val="none"/>
        </w:rPr>
        <w:t>（二）项目支出情况</w:t>
      </w:r>
      <w:bookmarkEnd w:id="8"/>
      <w:bookmarkEnd w:id="9"/>
      <w:bookmarkEnd w:id="10"/>
    </w:p>
    <w:p>
      <w:pPr>
        <w:pStyle w:val="4"/>
        <w:ind w:firstLine="643"/>
        <w:rPr>
          <w:highlight w:val="none"/>
        </w:rPr>
      </w:pPr>
      <w:bookmarkStart w:id="11" w:name="_Toc28118"/>
      <w:bookmarkStart w:id="12" w:name="_Toc79333435"/>
      <w:r>
        <w:rPr>
          <w:rFonts w:hint="eastAsia"/>
          <w:highlight w:val="none"/>
        </w:rPr>
        <w:t>1、项目预算情况</w:t>
      </w:r>
      <w:bookmarkEnd w:id="11"/>
      <w:bookmarkEnd w:id="12"/>
    </w:p>
    <w:p>
      <w:pPr>
        <w:ind w:firstLine="640"/>
        <w:rPr>
          <w:highlight w:val="none"/>
        </w:rPr>
      </w:pPr>
      <w:r>
        <w:rPr>
          <w:rFonts w:hint="eastAsia"/>
          <w:highlight w:val="none"/>
        </w:rPr>
        <w:t>项目于2</w:t>
      </w:r>
      <w:r>
        <w:rPr>
          <w:highlight w:val="none"/>
        </w:rPr>
        <w:t>02</w:t>
      </w:r>
      <w:r>
        <w:rPr>
          <w:rFonts w:hint="eastAsia"/>
          <w:highlight w:val="none"/>
        </w:rPr>
        <w:t>1年共申请财政资金</w:t>
      </w:r>
      <w:r>
        <w:rPr>
          <w:rFonts w:hint="eastAsia"/>
          <w:highlight w:val="none"/>
          <w:lang w:val="en-US" w:eastAsia="zh-CN"/>
        </w:rPr>
        <w:t>50</w:t>
      </w:r>
      <w:r>
        <w:rPr>
          <w:rFonts w:hint="eastAsia"/>
          <w:highlight w:val="none"/>
        </w:rPr>
        <w:t>万元，当年实际执行</w:t>
      </w:r>
      <w:r>
        <w:rPr>
          <w:rFonts w:hint="eastAsia"/>
          <w:highlight w:val="none"/>
          <w:lang w:val="en-US" w:eastAsia="zh-CN"/>
        </w:rPr>
        <w:t>50</w:t>
      </w:r>
      <w:r>
        <w:rPr>
          <w:rFonts w:hint="eastAsia"/>
          <w:highlight w:val="none"/>
        </w:rPr>
        <w:t>万元。</w:t>
      </w:r>
    </w:p>
    <w:p>
      <w:pPr>
        <w:pStyle w:val="4"/>
        <w:ind w:firstLine="643"/>
        <w:rPr>
          <w:highlight w:val="none"/>
        </w:rPr>
      </w:pPr>
      <w:bookmarkStart w:id="13" w:name="_Toc18098"/>
      <w:bookmarkStart w:id="14" w:name="_Toc79333436"/>
      <w:r>
        <w:rPr>
          <w:rFonts w:hint="eastAsia"/>
          <w:highlight w:val="none"/>
        </w:rPr>
        <w:t>2、项目预算执行情况</w:t>
      </w:r>
      <w:bookmarkEnd w:id="13"/>
      <w:bookmarkEnd w:id="14"/>
    </w:p>
    <w:p>
      <w:pPr>
        <w:ind w:firstLine="640"/>
        <w:jc w:val="left"/>
        <w:rPr>
          <w:highlight w:val="none"/>
        </w:rPr>
      </w:pPr>
      <w:r>
        <w:rPr>
          <w:rFonts w:hint="eastAsia"/>
          <w:highlight w:val="none"/>
        </w:rPr>
        <w:t>项目实际支出</w:t>
      </w:r>
      <w:r>
        <w:rPr>
          <w:rFonts w:hint="eastAsia"/>
          <w:highlight w:val="none"/>
          <w:lang w:val="en-US" w:eastAsia="zh-CN"/>
        </w:rPr>
        <w:t>50</w:t>
      </w:r>
      <w:r>
        <w:rPr>
          <w:rFonts w:hint="eastAsia"/>
          <w:highlight w:val="none"/>
        </w:rPr>
        <w:t>万元。</w:t>
      </w:r>
    </w:p>
    <w:p>
      <w:pPr>
        <w:pStyle w:val="2"/>
        <w:rPr>
          <w:highlight w:val="none"/>
        </w:rPr>
      </w:pPr>
      <w:bookmarkStart w:id="15" w:name="_Toc2615"/>
      <w:bookmarkStart w:id="16" w:name="_Toc10420"/>
      <w:bookmarkStart w:id="17" w:name="_Toc79333437"/>
      <w:bookmarkStart w:id="18" w:name="_Toc75871361"/>
      <w:r>
        <w:rPr>
          <w:rFonts w:hint="eastAsia"/>
          <w:highlight w:val="none"/>
        </w:rPr>
        <w:t>二、绩效自评工作开展情况</w:t>
      </w:r>
      <w:bookmarkEnd w:id="15"/>
      <w:bookmarkEnd w:id="16"/>
      <w:bookmarkEnd w:id="17"/>
      <w:bookmarkEnd w:id="18"/>
    </w:p>
    <w:p>
      <w:pPr>
        <w:pStyle w:val="3"/>
        <w:rPr>
          <w:highlight w:val="none"/>
        </w:rPr>
      </w:pPr>
      <w:bookmarkStart w:id="19" w:name="_Toc75871362"/>
      <w:bookmarkStart w:id="20" w:name="_Toc11728"/>
      <w:bookmarkStart w:id="21" w:name="_Toc79333438"/>
      <w:r>
        <w:rPr>
          <w:rFonts w:hint="eastAsia"/>
          <w:highlight w:val="none"/>
        </w:rPr>
        <w:t>（一）绩效自评价目的和意义</w:t>
      </w:r>
      <w:bookmarkEnd w:id="19"/>
      <w:bookmarkEnd w:id="20"/>
      <w:bookmarkEnd w:id="21"/>
    </w:p>
    <w:p>
      <w:pPr>
        <w:ind w:firstLine="640"/>
        <w:rPr>
          <w:highlight w:val="none"/>
        </w:rPr>
      </w:pPr>
      <w:r>
        <w:rPr>
          <w:rFonts w:hint="eastAsia"/>
          <w:highlight w:val="none"/>
        </w:rPr>
        <w:t>预算支出绩效自评价是预算单位运用科学、规范的评价方法，对照统一的评价标准，对预算支出的效率和效益进行的自我衡量和综合评价。</w:t>
      </w:r>
    </w:p>
    <w:p>
      <w:pPr>
        <w:ind w:firstLine="640"/>
        <w:rPr>
          <w:highlight w:val="none"/>
        </w:rPr>
      </w:pPr>
      <w:r>
        <w:rPr>
          <w:rFonts w:hint="eastAsia"/>
          <w:highlight w:val="none"/>
        </w:rPr>
        <w:t>预算支出绩效自评价的目的是：通过对绩效目标的综合考评，合理配置资源，优化支出结构，规范预算资金分配，提高财政资源配置效率和使用效益。</w:t>
      </w:r>
    </w:p>
    <w:p>
      <w:pPr>
        <w:ind w:firstLine="640"/>
        <w:rPr>
          <w:highlight w:val="none"/>
        </w:rPr>
      </w:pPr>
      <w:r>
        <w:rPr>
          <w:rFonts w:hint="eastAsia"/>
          <w:highlight w:val="none"/>
        </w:rPr>
        <w:t>推进预算支出绩效自评价的意义是：加强部门及项目预算管理，有利于建设高效透明政府，有利于深化政府管理体制改革。从政府部门管理层面来看，可促进预算单位预算管理的科学性和合理性；从财政部门资金监管层面来看，可深入了解资金投向的明确性和准确性，提高资金使用效率；从项目实施单位来看，可以进一步规范资金使用，提升项目实施效果。</w:t>
      </w:r>
    </w:p>
    <w:p>
      <w:pPr>
        <w:pStyle w:val="3"/>
        <w:rPr>
          <w:highlight w:val="none"/>
        </w:rPr>
      </w:pPr>
      <w:bookmarkStart w:id="22" w:name="_Toc3060"/>
      <w:bookmarkStart w:id="23" w:name="_Toc79333439"/>
      <w:bookmarkStart w:id="24" w:name="_Toc2651"/>
      <w:bookmarkStart w:id="25" w:name="_Toc75871363"/>
      <w:r>
        <w:rPr>
          <w:rFonts w:hint="eastAsia"/>
          <w:highlight w:val="none"/>
        </w:rPr>
        <w:t>（二）绩效自评价对象和范围</w:t>
      </w:r>
      <w:bookmarkEnd w:id="22"/>
      <w:bookmarkEnd w:id="23"/>
      <w:bookmarkEnd w:id="24"/>
      <w:bookmarkEnd w:id="25"/>
    </w:p>
    <w:p>
      <w:pPr>
        <w:ind w:firstLine="640"/>
        <w:rPr>
          <w:highlight w:val="none"/>
        </w:rPr>
      </w:pPr>
      <w:r>
        <w:rPr>
          <w:rFonts w:hint="eastAsia"/>
          <w:highlight w:val="none"/>
        </w:rPr>
        <w:t>本次绩效自评价对象为2</w:t>
      </w:r>
      <w:r>
        <w:rPr>
          <w:highlight w:val="none"/>
        </w:rPr>
        <w:t>02</w:t>
      </w:r>
      <w:r>
        <w:rPr>
          <w:rFonts w:hint="eastAsia"/>
          <w:highlight w:val="none"/>
        </w:rPr>
        <w:t>1年</w:t>
      </w:r>
      <w:r>
        <w:rPr>
          <w:rFonts w:hint="eastAsia" w:ascii="宋体" w:hAnsi="宋体" w:cs="宋体"/>
          <w:i w:val="0"/>
          <w:iCs w:val="0"/>
          <w:caps w:val="0"/>
          <w:color w:val="3D3D3D"/>
          <w:spacing w:val="0"/>
          <w:sz w:val="32"/>
          <w:szCs w:val="32"/>
          <w:highlight w:val="none"/>
          <w:shd w:val="clear" w:color="auto" w:fill="FFFFFF"/>
          <w:lang w:val="en-US" w:eastAsia="zh-CN"/>
        </w:rPr>
        <w:t>工作</w:t>
      </w:r>
      <w:r>
        <w:rPr>
          <w:rFonts w:hint="eastAsia" w:ascii="宋体" w:hAnsi="宋体" w:eastAsia="宋体" w:cs="宋体"/>
          <w:i w:val="0"/>
          <w:iCs w:val="0"/>
          <w:caps w:val="0"/>
          <w:color w:val="3D3D3D"/>
          <w:spacing w:val="0"/>
          <w:sz w:val="32"/>
          <w:szCs w:val="32"/>
          <w:highlight w:val="none"/>
          <w:shd w:val="clear" w:color="auto" w:fill="FFFFFF"/>
          <w:lang w:val="en-US" w:eastAsia="zh-CN"/>
        </w:rPr>
        <w:t>经费</w:t>
      </w:r>
      <w:r>
        <w:rPr>
          <w:rFonts w:hint="eastAsia"/>
          <w:highlight w:val="none"/>
        </w:rPr>
        <w:t>建设项目专项资金，评价范围为涉及该项目管理及其预算资金</w:t>
      </w:r>
      <w:r>
        <w:rPr>
          <w:rFonts w:hint="eastAsia"/>
          <w:highlight w:val="none"/>
          <w:lang w:val="en-US" w:eastAsia="zh-CN"/>
        </w:rPr>
        <w:t>50</w:t>
      </w:r>
      <w:r>
        <w:rPr>
          <w:rFonts w:hint="eastAsia"/>
          <w:highlight w:val="none"/>
        </w:rPr>
        <w:t>万元的使用情况。</w:t>
      </w:r>
    </w:p>
    <w:p>
      <w:pPr>
        <w:pStyle w:val="3"/>
        <w:rPr>
          <w:highlight w:val="none"/>
        </w:rPr>
      </w:pPr>
      <w:bookmarkStart w:id="26" w:name="_Toc79333440"/>
      <w:bookmarkStart w:id="27" w:name="_Toc8300"/>
      <w:bookmarkStart w:id="28" w:name="_Toc75871364"/>
      <w:bookmarkStart w:id="29" w:name="_Toc8160"/>
      <w:r>
        <w:rPr>
          <w:rFonts w:hint="eastAsia"/>
          <w:highlight w:val="none"/>
        </w:rPr>
        <w:t>（三）绩效评价的依据</w:t>
      </w:r>
      <w:bookmarkEnd w:id="26"/>
      <w:bookmarkEnd w:id="27"/>
      <w:bookmarkEnd w:id="28"/>
      <w:bookmarkEnd w:id="29"/>
    </w:p>
    <w:p>
      <w:pPr>
        <w:numPr>
          <w:ilvl w:val="0"/>
          <w:numId w:val="1"/>
        </w:numPr>
        <w:ind w:firstLine="640"/>
        <w:rPr>
          <w:highlight w:val="none"/>
        </w:rPr>
      </w:pPr>
      <w:r>
        <w:rPr>
          <w:rFonts w:hint="eastAsia"/>
          <w:highlight w:val="none"/>
        </w:rPr>
        <w:t>中共中央、国务院《关于全面实施预算绩效管理的意见》（中发〔2018〕34号）；</w:t>
      </w:r>
    </w:p>
    <w:p>
      <w:pPr>
        <w:numPr>
          <w:ilvl w:val="0"/>
          <w:numId w:val="1"/>
        </w:numPr>
        <w:ind w:firstLine="640"/>
        <w:rPr>
          <w:highlight w:val="none"/>
        </w:rPr>
      </w:pPr>
      <w:r>
        <w:rPr>
          <w:rFonts w:hint="eastAsia"/>
          <w:highlight w:val="none"/>
        </w:rPr>
        <w:t>《项目支出绩效评价管理办法》（财预〔2020〕10号）；</w:t>
      </w:r>
    </w:p>
    <w:p>
      <w:pPr>
        <w:numPr>
          <w:ilvl w:val="0"/>
          <w:numId w:val="1"/>
        </w:numPr>
        <w:ind w:firstLine="640"/>
        <w:rPr>
          <w:highlight w:val="none"/>
        </w:rPr>
      </w:pPr>
      <w:r>
        <w:rPr>
          <w:rFonts w:hint="eastAsia"/>
          <w:highlight w:val="none"/>
        </w:rPr>
        <w:t>《预算绩效评价共性指标体系框架》（财预〔2013〕53号）；</w:t>
      </w:r>
    </w:p>
    <w:p>
      <w:pPr>
        <w:numPr>
          <w:ilvl w:val="0"/>
          <w:numId w:val="1"/>
        </w:numPr>
        <w:ind w:firstLine="640"/>
        <w:rPr>
          <w:highlight w:val="none"/>
        </w:rPr>
      </w:pPr>
      <w:r>
        <w:rPr>
          <w:rFonts w:hint="eastAsia"/>
          <w:highlight w:val="none"/>
        </w:rPr>
        <w:t>《中共河南省委 河南省人民政府关于全面实施预算绩效管理的实施意见》（豫发〔2019〕10号）；</w:t>
      </w:r>
    </w:p>
    <w:p>
      <w:pPr>
        <w:numPr>
          <w:ilvl w:val="0"/>
          <w:numId w:val="1"/>
        </w:numPr>
        <w:ind w:firstLine="640"/>
        <w:rPr>
          <w:highlight w:val="none"/>
        </w:rPr>
      </w:pPr>
      <w:r>
        <w:rPr>
          <w:rFonts w:hint="eastAsia"/>
          <w:highlight w:val="none"/>
        </w:rPr>
        <w:t>河南省财政厅关于印发《河南省省级预算项目支出绩效评价管理办法》的通知（豫财效〔2020〕10号）；</w:t>
      </w:r>
    </w:p>
    <w:p>
      <w:pPr>
        <w:pStyle w:val="3"/>
        <w:rPr>
          <w:highlight w:val="none"/>
        </w:rPr>
      </w:pPr>
      <w:bookmarkStart w:id="30" w:name="_Toc79333441"/>
      <w:bookmarkStart w:id="31" w:name="_Toc75871365"/>
      <w:bookmarkStart w:id="32" w:name="_Toc13521"/>
      <w:bookmarkStart w:id="33" w:name="_Toc5650"/>
      <w:r>
        <w:rPr>
          <w:rFonts w:hint="eastAsia"/>
          <w:highlight w:val="none"/>
        </w:rPr>
        <w:t>（四）评分方法</w:t>
      </w:r>
      <w:bookmarkEnd w:id="30"/>
      <w:bookmarkEnd w:id="31"/>
      <w:bookmarkEnd w:id="32"/>
      <w:bookmarkEnd w:id="33"/>
    </w:p>
    <w:p>
      <w:pPr>
        <w:ind w:firstLine="640"/>
        <w:rPr>
          <w:highlight w:val="none"/>
        </w:rPr>
      </w:pPr>
      <w:bookmarkStart w:id="34" w:name="_Toc27533"/>
      <w:r>
        <w:rPr>
          <w:rFonts w:hint="eastAsia"/>
          <w:highlight w:val="none"/>
        </w:rPr>
        <w:t>根据财政部《项目支出绩效评价管理办法》（财预〔2020〕10号）第十六条的相关要求：</w:t>
      </w:r>
    </w:p>
    <w:p>
      <w:pPr>
        <w:ind w:firstLine="640"/>
        <w:rPr>
          <w:highlight w:val="none"/>
        </w:rPr>
      </w:pPr>
      <w:r>
        <w:rPr>
          <w:rFonts w:hint="eastAsia"/>
          <w:highlight w:val="none"/>
        </w:rPr>
        <w:t>单位自评采用定量与定性评价相结合的比较法，总分由各项指标得分汇总形成。</w:t>
      </w:r>
    </w:p>
    <w:p>
      <w:pPr>
        <w:ind w:firstLine="640"/>
        <w:rPr>
          <w:highlight w:val="none"/>
        </w:rPr>
      </w:pPr>
      <w:r>
        <w:rPr>
          <w:rFonts w:hint="eastAsia"/>
          <w:highlight w:val="none"/>
        </w:rPr>
        <w:t>定量指标得分按照以下方法评定：与年初指标值相比，完成指标值的，计该指标所赋全部分值；对完成值高于指标值较多的，要分析原因，如果是由于年初指标值设定明显偏低造成的，要按照偏离度适度调减分值；未完成指标值的，按照完成值与指标值的比例计分。</w:t>
      </w:r>
    </w:p>
    <w:p>
      <w:pPr>
        <w:ind w:firstLine="640"/>
        <w:rPr>
          <w:highlight w:val="none"/>
        </w:rPr>
      </w:pPr>
      <w:r>
        <w:rPr>
          <w:rFonts w:hint="eastAsia"/>
          <w:highlight w:val="none"/>
        </w:rPr>
        <w:t>定性指标得分按照以下方法评定：根据指标完成情况分为达成年度指标、部分达成年度指标并具有一定效果、未达成年度指标且效果较差三档，分别按照该指标对应分值区间100%—80%（含）、80%—60%（含）、60%—0%合理确定分值。</w:t>
      </w:r>
    </w:p>
    <w:p>
      <w:pPr>
        <w:ind w:firstLine="640"/>
        <w:rPr>
          <w:highlight w:val="none"/>
        </w:rPr>
      </w:pPr>
      <w:r>
        <w:rPr>
          <w:highlight w:val="none"/>
        </w:rPr>
        <w:t>评分表满分为100分，</w:t>
      </w:r>
      <w:r>
        <w:rPr>
          <w:rFonts w:hint="eastAsia"/>
          <w:highlight w:val="none"/>
        </w:rPr>
        <w:t>一</w:t>
      </w:r>
      <w:r>
        <w:rPr>
          <w:highlight w:val="none"/>
        </w:rPr>
        <w:t>级指标分值统一设置为：预算执行率10分、产出指标50分、效益指标30分、服务对象满意指标10分。各部门可根据指标的重要程度自主确定各项三级指标的权重分值各项指标得分加总得出自评的总分。</w:t>
      </w:r>
    </w:p>
    <w:p>
      <w:pPr>
        <w:ind w:firstLine="640"/>
        <w:rPr>
          <w:highlight w:val="none"/>
        </w:rPr>
      </w:pPr>
      <w:r>
        <w:rPr>
          <w:rFonts w:hint="eastAsia"/>
          <w:highlight w:val="none"/>
        </w:rPr>
        <w:t>综合各级政府绩效评价相关政策，按照政策相关要求，根据指标的重要程度确定各项三级指标的权重分值。</w:t>
      </w:r>
    </w:p>
    <w:p>
      <w:pPr>
        <w:pStyle w:val="3"/>
        <w:rPr>
          <w:highlight w:val="none"/>
        </w:rPr>
      </w:pPr>
      <w:bookmarkStart w:id="35" w:name="_Toc75871366"/>
      <w:bookmarkStart w:id="36" w:name="_Toc7361"/>
      <w:bookmarkStart w:id="37" w:name="_Toc79333442"/>
      <w:r>
        <w:rPr>
          <w:rFonts w:hint="eastAsia"/>
          <w:highlight w:val="none"/>
        </w:rPr>
        <w:t>（五）绩效自评工作组织</w:t>
      </w:r>
      <w:bookmarkEnd w:id="34"/>
      <w:bookmarkEnd w:id="35"/>
      <w:bookmarkEnd w:id="36"/>
      <w:bookmarkEnd w:id="37"/>
    </w:p>
    <w:p>
      <w:pPr>
        <w:ind w:firstLine="640"/>
        <w:rPr>
          <w:highlight w:val="none"/>
        </w:rPr>
      </w:pPr>
      <w:r>
        <w:rPr>
          <w:rFonts w:hint="eastAsia"/>
          <w:highlight w:val="none"/>
        </w:rPr>
        <w:t>我单位依据自评价相关要求，成立项目自评领导小组，下设自评工作组，由工作组根据具体项目指定专人配合进行自评。</w:t>
      </w:r>
    </w:p>
    <w:p>
      <w:pPr>
        <w:ind w:firstLine="640"/>
        <w:rPr>
          <w:highlight w:val="none"/>
        </w:rPr>
      </w:pPr>
      <w:r>
        <w:rPr>
          <w:rFonts w:hint="eastAsia"/>
          <w:highlight w:val="none"/>
        </w:rPr>
        <w:t>工作组主要工作内容有：</w:t>
      </w:r>
    </w:p>
    <w:p>
      <w:pPr>
        <w:ind w:firstLine="640"/>
        <w:rPr>
          <w:highlight w:val="none"/>
        </w:rPr>
      </w:pPr>
      <w:r>
        <w:rPr>
          <w:rFonts w:hint="eastAsia"/>
          <w:highlight w:val="none"/>
        </w:rPr>
        <w:t>1、召开自评价专门会议，进行自评价工作的统一部署并组织项目相关成员进行必要的政策法规学习；</w:t>
      </w:r>
    </w:p>
    <w:p>
      <w:pPr>
        <w:ind w:firstLine="640"/>
        <w:rPr>
          <w:highlight w:val="none"/>
        </w:rPr>
      </w:pPr>
      <w:r>
        <w:rPr>
          <w:rFonts w:hint="eastAsia"/>
          <w:highlight w:val="none"/>
        </w:rPr>
        <w:t>2、组织有效的调查研究、项目座谈、查阅相关资料；</w:t>
      </w:r>
    </w:p>
    <w:p>
      <w:pPr>
        <w:ind w:firstLine="640"/>
        <w:rPr>
          <w:highlight w:val="none"/>
        </w:rPr>
      </w:pPr>
      <w:r>
        <w:rPr>
          <w:rFonts w:hint="eastAsia"/>
          <w:highlight w:val="none"/>
        </w:rPr>
        <w:t>3、根据获取的资料，依照《项目支出绩效自评表》进行合理打分；</w:t>
      </w:r>
    </w:p>
    <w:p>
      <w:pPr>
        <w:ind w:firstLine="640"/>
        <w:rPr>
          <w:highlight w:val="none"/>
        </w:rPr>
      </w:pPr>
      <w:r>
        <w:rPr>
          <w:rFonts w:hint="eastAsia"/>
          <w:highlight w:val="none"/>
        </w:rPr>
        <w:t>4、综合上述工作成果，撰写项目自评价报告；</w:t>
      </w:r>
    </w:p>
    <w:p>
      <w:pPr>
        <w:pStyle w:val="2"/>
        <w:rPr>
          <w:highlight w:val="none"/>
        </w:rPr>
      </w:pPr>
      <w:bookmarkStart w:id="80" w:name="_GoBack"/>
      <w:bookmarkEnd w:id="80"/>
      <w:bookmarkStart w:id="38" w:name="_Toc79333443"/>
      <w:bookmarkStart w:id="39" w:name="_Toc25663"/>
      <w:r>
        <w:rPr>
          <w:rFonts w:hint="eastAsia"/>
          <w:highlight w:val="none"/>
        </w:rPr>
        <w:t>三、绩效自评结果及分析</w:t>
      </w:r>
      <w:bookmarkEnd w:id="38"/>
      <w:bookmarkEnd w:id="39"/>
    </w:p>
    <w:p>
      <w:pPr>
        <w:pStyle w:val="3"/>
        <w:rPr>
          <w:highlight w:val="none"/>
        </w:rPr>
      </w:pPr>
      <w:bookmarkStart w:id="40" w:name="_Toc79333444"/>
      <w:bookmarkStart w:id="41" w:name="_Toc4028"/>
      <w:bookmarkStart w:id="42" w:name="_Toc981"/>
      <w:r>
        <w:rPr>
          <w:highlight w:val="none"/>
        </w:rPr>
        <w:t>（一）绩效自评价结果</w:t>
      </w:r>
      <w:bookmarkEnd w:id="40"/>
      <w:bookmarkEnd w:id="41"/>
      <w:bookmarkEnd w:id="42"/>
    </w:p>
    <w:p>
      <w:pPr>
        <w:ind w:firstLine="640"/>
        <w:rPr>
          <w:highlight w:val="none"/>
        </w:rPr>
      </w:pPr>
      <w:r>
        <w:rPr>
          <w:rFonts w:hint="eastAsia"/>
          <w:highlight w:val="none"/>
        </w:rPr>
        <w:t>根据自评相关规定，绩效评价结果实行百分制和四级分类，分别是：90-100分为优、80-89分为良、60-79分为中、0-59分为差。</w:t>
      </w:r>
    </w:p>
    <w:p>
      <w:pPr>
        <w:ind w:firstLine="640"/>
        <w:rPr>
          <w:highlight w:val="none"/>
        </w:rPr>
      </w:pPr>
      <w:r>
        <w:rPr>
          <w:rFonts w:hint="eastAsia"/>
          <w:highlight w:val="none"/>
        </w:rPr>
        <w:t>我单位通过对本项目调查研究、座谈、查阅相关资料，根据相关政策要求进行打分，最终项目自评价得分为</w:t>
      </w:r>
      <w:r>
        <w:rPr>
          <w:rFonts w:hint="eastAsia"/>
          <w:highlight w:val="none"/>
          <w:lang w:val="en-US" w:eastAsia="zh-CN"/>
        </w:rPr>
        <w:t>100</w:t>
      </w:r>
      <w:r>
        <w:rPr>
          <w:rFonts w:hint="eastAsia"/>
          <w:highlight w:val="none"/>
        </w:rPr>
        <w:t>分，评价结果为“</w:t>
      </w:r>
      <w:r>
        <w:rPr>
          <w:rFonts w:hint="eastAsia"/>
          <w:highlight w:val="none"/>
          <w:lang w:eastAsia="zh-CN"/>
        </w:rPr>
        <w:t>优</w:t>
      </w:r>
      <w:r>
        <w:rPr>
          <w:rFonts w:hint="eastAsia"/>
          <w:highlight w:val="none"/>
        </w:rPr>
        <w:t>”。各项指标具体得分情况如下表</w:t>
      </w:r>
      <w:r>
        <w:rPr>
          <w:highlight w:val="none"/>
        </w:rPr>
        <w:t>3</w:t>
      </w:r>
      <w:r>
        <w:rPr>
          <w:rFonts w:hint="eastAsia"/>
          <w:highlight w:val="none"/>
        </w:rPr>
        <w:t>.1所示</w:t>
      </w:r>
    </w:p>
    <w:p>
      <w:pPr>
        <w:pStyle w:val="16"/>
        <w:ind w:firstLine="643"/>
        <w:rPr>
          <w:highlight w:val="none"/>
        </w:rPr>
      </w:pPr>
      <w:r>
        <w:rPr>
          <w:rFonts w:hint="eastAsia"/>
          <w:highlight w:val="none"/>
        </w:rPr>
        <w:t>表3.1 绩效自评价得分表</w:t>
      </w:r>
    </w:p>
    <w:tbl>
      <w:tblPr>
        <w:tblStyle w:val="12"/>
        <w:tblW w:w="4954" w:type="pct"/>
        <w:jc w:val="center"/>
        <w:tblLayout w:type="fixed"/>
        <w:tblCellMar>
          <w:top w:w="0" w:type="dxa"/>
          <w:left w:w="108" w:type="dxa"/>
          <w:bottom w:w="0" w:type="dxa"/>
          <w:right w:w="108" w:type="dxa"/>
        </w:tblCellMar>
      </w:tblPr>
      <w:tblGrid>
        <w:gridCol w:w="1305"/>
        <w:gridCol w:w="1603"/>
        <w:gridCol w:w="2724"/>
        <w:gridCol w:w="1439"/>
        <w:gridCol w:w="1373"/>
      </w:tblGrid>
      <w:tr>
        <w:tblPrEx>
          <w:tblCellMar>
            <w:top w:w="0" w:type="dxa"/>
            <w:left w:w="108" w:type="dxa"/>
            <w:bottom w:w="0" w:type="dxa"/>
            <w:right w:w="108" w:type="dxa"/>
          </w:tblCellMar>
        </w:tblPrEx>
        <w:trPr>
          <w:trHeight w:val="567" w:hRule="atLeast"/>
          <w:tblHeader/>
          <w:jc w:val="center"/>
        </w:trPr>
        <w:tc>
          <w:tcPr>
            <w:tcW w:w="772" w:type="pc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pStyle w:val="15"/>
              <w:rPr>
                <w:highlight w:val="none"/>
              </w:rPr>
            </w:pPr>
            <w:r>
              <w:rPr>
                <w:rFonts w:hint="eastAsia"/>
                <w:highlight w:val="none"/>
              </w:rPr>
              <w:t>一级指标</w:t>
            </w:r>
          </w:p>
        </w:tc>
        <w:tc>
          <w:tcPr>
            <w:tcW w:w="949"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5"/>
              <w:rPr>
                <w:highlight w:val="none"/>
              </w:rPr>
            </w:pPr>
            <w:r>
              <w:rPr>
                <w:rFonts w:hint="eastAsia"/>
                <w:highlight w:val="none"/>
              </w:rPr>
              <w:t>二级指标</w:t>
            </w:r>
          </w:p>
        </w:tc>
        <w:tc>
          <w:tcPr>
            <w:tcW w:w="1612"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5"/>
              <w:rPr>
                <w:highlight w:val="none"/>
              </w:rPr>
            </w:pPr>
            <w:r>
              <w:rPr>
                <w:rFonts w:hint="eastAsia"/>
                <w:highlight w:val="none"/>
              </w:rPr>
              <w:t>三级指标</w:t>
            </w:r>
          </w:p>
        </w:tc>
        <w:tc>
          <w:tcPr>
            <w:tcW w:w="852"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5"/>
              <w:rPr>
                <w:highlight w:val="none"/>
              </w:rPr>
            </w:pPr>
            <w:r>
              <w:rPr>
                <w:rFonts w:hint="eastAsia"/>
                <w:highlight w:val="none"/>
              </w:rPr>
              <w:t>标准分值</w:t>
            </w:r>
          </w:p>
        </w:tc>
        <w:tc>
          <w:tcPr>
            <w:tcW w:w="813"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5"/>
              <w:rPr>
                <w:highlight w:val="none"/>
              </w:rPr>
            </w:pPr>
            <w:r>
              <w:rPr>
                <w:rFonts w:hint="eastAsia"/>
                <w:highlight w:val="none"/>
              </w:rPr>
              <w:t>实际得分</w:t>
            </w:r>
          </w:p>
        </w:tc>
      </w:tr>
      <w:tr>
        <w:tblPrEx>
          <w:tblCellMar>
            <w:top w:w="0" w:type="dxa"/>
            <w:left w:w="108" w:type="dxa"/>
            <w:bottom w:w="0" w:type="dxa"/>
            <w:right w:w="108" w:type="dxa"/>
          </w:tblCellMar>
        </w:tblPrEx>
        <w:trPr>
          <w:trHeight w:val="567" w:hRule="atLeast"/>
          <w:jc w:val="center"/>
        </w:trPr>
        <w:tc>
          <w:tcPr>
            <w:tcW w:w="77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5"/>
              <w:rPr>
                <w:highlight w:val="none"/>
              </w:rPr>
            </w:pPr>
            <w:r>
              <w:rPr>
                <w:rFonts w:hint="eastAsia"/>
                <w:highlight w:val="none"/>
              </w:rPr>
              <w:t>预算执行</w:t>
            </w:r>
          </w:p>
        </w:tc>
        <w:tc>
          <w:tcPr>
            <w:tcW w:w="949" w:type="pct"/>
            <w:tcBorders>
              <w:top w:val="single" w:color="auto" w:sz="4" w:space="0"/>
              <w:left w:val="nil"/>
              <w:bottom w:val="single" w:color="auto" w:sz="4" w:space="0"/>
              <w:right w:val="single" w:color="auto" w:sz="4" w:space="0"/>
            </w:tcBorders>
            <w:shd w:val="clear" w:color="auto" w:fill="auto"/>
            <w:vAlign w:val="center"/>
          </w:tcPr>
          <w:p>
            <w:pPr>
              <w:pStyle w:val="15"/>
              <w:rPr>
                <w:highlight w:val="none"/>
              </w:rPr>
            </w:pPr>
            <w:r>
              <w:rPr>
                <w:rFonts w:hint="eastAsia"/>
                <w:highlight w:val="none"/>
              </w:rPr>
              <w:t>预算执行率</w:t>
            </w:r>
          </w:p>
        </w:tc>
        <w:tc>
          <w:tcPr>
            <w:tcW w:w="1612" w:type="pct"/>
            <w:tcBorders>
              <w:top w:val="single" w:color="auto" w:sz="4" w:space="0"/>
              <w:left w:val="nil"/>
              <w:bottom w:val="single" w:color="auto" w:sz="4" w:space="0"/>
              <w:right w:val="single" w:color="auto" w:sz="4" w:space="0"/>
            </w:tcBorders>
            <w:shd w:val="clear" w:color="auto" w:fill="auto"/>
            <w:vAlign w:val="center"/>
          </w:tcPr>
          <w:p>
            <w:pPr>
              <w:pStyle w:val="15"/>
              <w:rPr>
                <w:highlight w:val="none"/>
              </w:rPr>
            </w:pPr>
            <w:r>
              <w:rPr>
                <w:rFonts w:hint="eastAsia"/>
                <w:highlight w:val="none"/>
              </w:rPr>
              <w:t>预算执行率</w:t>
            </w:r>
          </w:p>
        </w:tc>
        <w:tc>
          <w:tcPr>
            <w:tcW w:w="852" w:type="pct"/>
            <w:tcBorders>
              <w:top w:val="single" w:color="auto" w:sz="4" w:space="0"/>
              <w:left w:val="nil"/>
              <w:bottom w:val="single" w:color="auto" w:sz="4" w:space="0"/>
              <w:right w:val="single" w:color="auto" w:sz="4" w:space="0"/>
            </w:tcBorders>
            <w:shd w:val="clear" w:color="auto" w:fill="auto"/>
            <w:vAlign w:val="center"/>
          </w:tcPr>
          <w:p>
            <w:pPr>
              <w:pStyle w:val="15"/>
              <w:rPr>
                <w:rFonts w:hint="default" w:eastAsia="仿宋"/>
                <w:highlight w:val="none"/>
                <w:lang w:val="en-US" w:eastAsia="zh-CN"/>
              </w:rPr>
            </w:pPr>
            <w:r>
              <w:rPr>
                <w:rFonts w:hint="eastAsia"/>
                <w:highlight w:val="none"/>
                <w:lang w:val="en-US" w:eastAsia="zh-CN"/>
              </w:rPr>
              <w:t>10</w:t>
            </w:r>
          </w:p>
        </w:tc>
        <w:tc>
          <w:tcPr>
            <w:tcW w:w="813" w:type="pct"/>
            <w:tcBorders>
              <w:top w:val="single" w:color="auto" w:sz="4" w:space="0"/>
              <w:left w:val="nil"/>
              <w:bottom w:val="single" w:color="auto" w:sz="4" w:space="0"/>
              <w:right w:val="single" w:color="auto" w:sz="4" w:space="0"/>
            </w:tcBorders>
            <w:shd w:val="clear" w:color="auto" w:fill="auto"/>
            <w:vAlign w:val="center"/>
          </w:tcPr>
          <w:p>
            <w:pPr>
              <w:pStyle w:val="15"/>
              <w:ind w:firstLine="0" w:firstLineChars="0"/>
              <w:rPr>
                <w:rFonts w:hint="default" w:ascii="Times New Roman" w:hAnsi="Times New Roman" w:eastAsia="仿宋" w:cstheme="minorBidi"/>
                <w:kern w:val="2"/>
                <w:sz w:val="24"/>
                <w:szCs w:val="24"/>
                <w:highlight w:val="none"/>
                <w:lang w:val="en-US" w:eastAsia="zh-CN" w:bidi="ar-SA"/>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restart"/>
            <w:tcBorders>
              <w:left w:val="single" w:color="auto" w:sz="4" w:space="0"/>
              <w:right w:val="single" w:color="auto" w:sz="4" w:space="0"/>
            </w:tcBorders>
            <w:vAlign w:val="center"/>
          </w:tcPr>
          <w:p>
            <w:pPr>
              <w:pStyle w:val="15"/>
              <w:rPr>
                <w:highlight w:val="none"/>
              </w:rPr>
            </w:pPr>
            <w:r>
              <w:rPr>
                <w:rFonts w:hint="eastAsia"/>
                <w:highlight w:val="none"/>
              </w:rPr>
              <w:t>产出指标</w:t>
            </w:r>
          </w:p>
        </w:tc>
        <w:tc>
          <w:tcPr>
            <w:tcW w:w="949" w:type="pct"/>
            <w:vMerge w:val="restart"/>
            <w:tcBorders>
              <w:top w:val="nil"/>
              <w:left w:val="single" w:color="auto" w:sz="4" w:space="0"/>
              <w:right w:val="single" w:color="auto" w:sz="4" w:space="0"/>
            </w:tcBorders>
            <w:shd w:val="clear" w:color="auto" w:fill="auto"/>
            <w:vAlign w:val="center"/>
          </w:tcPr>
          <w:p>
            <w:pPr>
              <w:pStyle w:val="15"/>
              <w:rPr>
                <w:highlight w:val="none"/>
              </w:rPr>
            </w:pPr>
            <w:r>
              <w:rPr>
                <w:rFonts w:hint="eastAsia"/>
                <w:highlight w:val="none"/>
              </w:rPr>
              <w:t>数量指标</w:t>
            </w:r>
          </w:p>
        </w:tc>
        <w:tc>
          <w:tcPr>
            <w:tcW w:w="1612" w:type="pct"/>
            <w:tcBorders>
              <w:top w:val="nil"/>
              <w:left w:val="nil"/>
              <w:bottom w:val="single" w:color="auto" w:sz="4" w:space="0"/>
              <w:right w:val="single" w:color="auto" w:sz="4" w:space="0"/>
            </w:tcBorders>
            <w:shd w:val="clear" w:color="auto" w:fill="auto"/>
            <w:vAlign w:val="center"/>
          </w:tcPr>
          <w:p>
            <w:pPr>
              <w:pStyle w:val="15"/>
              <w:rPr>
                <w:sz w:val="24"/>
                <w:szCs w:val="24"/>
                <w:highlight w:val="none"/>
              </w:rPr>
            </w:pPr>
            <w:r>
              <w:rPr>
                <w:rFonts w:hint="eastAsia"/>
                <w:sz w:val="24"/>
                <w:szCs w:val="24"/>
                <w:highlight w:val="none"/>
              </w:rPr>
              <w:t>开办新栏目</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default" w:eastAsia="仿宋"/>
                <w:highlight w:val="none"/>
                <w:lang w:val="en-US" w:eastAsia="zh-CN"/>
              </w:rPr>
            </w:pPr>
            <w:r>
              <w:rPr>
                <w:rFonts w:hint="eastAsia"/>
                <w:highlight w:val="none"/>
                <w:lang w:val="en-US" w:eastAsia="zh-CN"/>
              </w:rPr>
              <w:t>6</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hint="default" w:ascii="Times New Roman" w:hAnsi="Times New Roman" w:eastAsia="仿宋" w:cstheme="minorBidi"/>
                <w:kern w:val="2"/>
                <w:sz w:val="24"/>
                <w:szCs w:val="24"/>
                <w:highlight w:val="none"/>
                <w:lang w:val="en-US" w:eastAsia="zh-CN" w:bidi="ar-SA"/>
              </w:rPr>
            </w:pPr>
            <w:r>
              <w:rPr>
                <w:rFonts w:hint="eastAsia"/>
                <w:highlight w:val="none"/>
                <w:lang w:val="en-US" w:eastAsia="zh-CN"/>
              </w:rPr>
              <w:t>6</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5"/>
              <w:rPr>
                <w:highlight w:val="none"/>
              </w:rPr>
            </w:pPr>
          </w:p>
        </w:tc>
        <w:tc>
          <w:tcPr>
            <w:tcW w:w="949" w:type="pct"/>
            <w:vMerge w:val="continue"/>
            <w:tcBorders>
              <w:left w:val="single" w:color="auto" w:sz="4" w:space="0"/>
              <w:right w:val="single" w:color="auto" w:sz="4" w:space="0"/>
            </w:tcBorders>
            <w:vAlign w:val="center"/>
          </w:tcPr>
          <w:p>
            <w:pPr>
              <w:pStyle w:val="15"/>
              <w:rPr>
                <w:highlight w:val="none"/>
              </w:rPr>
            </w:pPr>
          </w:p>
        </w:tc>
        <w:tc>
          <w:tcPr>
            <w:tcW w:w="1612" w:type="pct"/>
            <w:tcBorders>
              <w:top w:val="nil"/>
              <w:left w:val="nil"/>
              <w:bottom w:val="single" w:color="auto" w:sz="4" w:space="0"/>
              <w:right w:val="single" w:color="auto" w:sz="4" w:space="0"/>
            </w:tcBorders>
            <w:shd w:val="clear" w:color="auto" w:fill="auto"/>
            <w:vAlign w:val="center"/>
          </w:tcPr>
          <w:p>
            <w:pPr>
              <w:pStyle w:val="15"/>
              <w:rPr>
                <w:sz w:val="24"/>
                <w:szCs w:val="24"/>
                <w:highlight w:val="none"/>
              </w:rPr>
            </w:pPr>
            <w:r>
              <w:rPr>
                <w:rFonts w:hint="eastAsia"/>
                <w:sz w:val="24"/>
                <w:szCs w:val="24"/>
                <w:highlight w:val="none"/>
              </w:rPr>
              <w:t>制作专题片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default" w:eastAsia="仿宋"/>
                <w:highlight w:val="none"/>
                <w:lang w:val="en-US" w:eastAsia="zh-CN"/>
              </w:rPr>
            </w:pPr>
            <w:r>
              <w:rPr>
                <w:rFonts w:hint="eastAsia"/>
                <w:highlight w:val="none"/>
                <w:lang w:val="en-US" w:eastAsia="zh-CN"/>
              </w:rPr>
              <w:t>6</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hint="default" w:ascii="Times New Roman" w:hAnsi="Times New Roman" w:eastAsia="仿宋" w:cstheme="minorBidi"/>
                <w:kern w:val="2"/>
                <w:sz w:val="24"/>
                <w:szCs w:val="24"/>
                <w:highlight w:val="none"/>
                <w:lang w:val="en-US" w:eastAsia="zh-CN" w:bidi="ar-SA"/>
              </w:rPr>
            </w:pPr>
            <w:r>
              <w:rPr>
                <w:rFonts w:hint="eastAsia"/>
                <w:highlight w:val="none"/>
                <w:lang w:val="en-US" w:eastAsia="zh-CN"/>
              </w:rPr>
              <w:t>6</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5"/>
              <w:rPr>
                <w:highlight w:val="none"/>
              </w:rPr>
            </w:pPr>
          </w:p>
        </w:tc>
        <w:tc>
          <w:tcPr>
            <w:tcW w:w="949" w:type="pct"/>
            <w:vMerge w:val="restart"/>
            <w:tcBorders>
              <w:top w:val="single" w:color="auto" w:sz="4" w:space="0"/>
              <w:left w:val="single" w:color="auto" w:sz="4" w:space="0"/>
              <w:right w:val="single" w:color="auto" w:sz="4" w:space="0"/>
            </w:tcBorders>
            <w:vAlign w:val="center"/>
          </w:tcPr>
          <w:p>
            <w:pPr>
              <w:pStyle w:val="15"/>
              <w:rPr>
                <w:highlight w:val="none"/>
              </w:rPr>
            </w:pPr>
            <w:r>
              <w:rPr>
                <w:rFonts w:hint="eastAsia"/>
                <w:highlight w:val="none"/>
              </w:rPr>
              <w:t>质量指标</w:t>
            </w:r>
          </w:p>
        </w:tc>
        <w:tc>
          <w:tcPr>
            <w:tcW w:w="1612" w:type="pct"/>
            <w:tcBorders>
              <w:top w:val="nil"/>
              <w:left w:val="nil"/>
              <w:bottom w:val="single" w:color="auto" w:sz="4" w:space="0"/>
              <w:right w:val="single" w:color="auto" w:sz="4" w:space="0"/>
            </w:tcBorders>
            <w:shd w:val="clear" w:color="auto" w:fill="auto"/>
            <w:vAlign w:val="center"/>
          </w:tcPr>
          <w:p>
            <w:pPr>
              <w:pStyle w:val="15"/>
              <w:rPr>
                <w:sz w:val="24"/>
                <w:szCs w:val="24"/>
                <w:highlight w:val="none"/>
              </w:rPr>
            </w:pPr>
            <w:r>
              <w:rPr>
                <w:rFonts w:hint="eastAsia"/>
                <w:sz w:val="24"/>
                <w:szCs w:val="24"/>
                <w:highlight w:val="none"/>
              </w:rPr>
              <w:t>新栏目审核通过率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default" w:eastAsia="仿宋"/>
                <w:highlight w:val="none"/>
                <w:lang w:val="en-US" w:eastAsia="zh-CN"/>
              </w:rPr>
            </w:pPr>
            <w:r>
              <w:rPr>
                <w:rFonts w:hint="eastAsia"/>
                <w:highlight w:val="none"/>
                <w:lang w:val="en-US" w:eastAsia="zh-CN"/>
              </w:rPr>
              <w:t>6</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hint="default" w:ascii="Times New Roman" w:hAnsi="Times New Roman" w:eastAsia="仿宋" w:cstheme="minorBidi"/>
                <w:kern w:val="2"/>
                <w:sz w:val="24"/>
                <w:szCs w:val="24"/>
                <w:highlight w:val="none"/>
                <w:lang w:val="en-US" w:eastAsia="zh-CN" w:bidi="ar-SA"/>
              </w:rPr>
            </w:pPr>
            <w:r>
              <w:rPr>
                <w:rFonts w:hint="eastAsia"/>
                <w:highlight w:val="none"/>
                <w:lang w:val="en-US" w:eastAsia="zh-CN"/>
              </w:rPr>
              <w:t>6</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5"/>
              <w:rPr>
                <w:highlight w:val="none"/>
              </w:rPr>
            </w:pPr>
          </w:p>
        </w:tc>
        <w:tc>
          <w:tcPr>
            <w:tcW w:w="949" w:type="pct"/>
            <w:vMerge w:val="continue"/>
            <w:tcBorders>
              <w:left w:val="single" w:color="auto" w:sz="4" w:space="0"/>
              <w:right w:val="single" w:color="auto" w:sz="4" w:space="0"/>
            </w:tcBorders>
            <w:vAlign w:val="center"/>
          </w:tcPr>
          <w:p>
            <w:pPr>
              <w:pStyle w:val="15"/>
              <w:rPr>
                <w:highlight w:val="none"/>
              </w:rPr>
            </w:pPr>
          </w:p>
        </w:tc>
        <w:tc>
          <w:tcPr>
            <w:tcW w:w="1612" w:type="pct"/>
            <w:tcBorders>
              <w:top w:val="nil"/>
              <w:left w:val="nil"/>
              <w:bottom w:val="single" w:color="auto" w:sz="4" w:space="0"/>
              <w:right w:val="single" w:color="auto" w:sz="4" w:space="0"/>
            </w:tcBorders>
            <w:shd w:val="clear" w:color="auto" w:fill="auto"/>
            <w:vAlign w:val="center"/>
          </w:tcPr>
          <w:p>
            <w:pPr>
              <w:pStyle w:val="15"/>
              <w:rPr>
                <w:sz w:val="24"/>
                <w:szCs w:val="24"/>
                <w:highlight w:val="none"/>
              </w:rPr>
            </w:pPr>
            <w:r>
              <w:rPr>
                <w:rFonts w:hint="eastAsia"/>
                <w:sz w:val="24"/>
                <w:szCs w:val="24"/>
                <w:highlight w:val="none"/>
              </w:rPr>
              <w:t>专题片审核通过率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eastAsia" w:eastAsia="仿宋"/>
                <w:highlight w:val="none"/>
                <w:lang w:val="en-US" w:eastAsia="zh-CN"/>
              </w:rPr>
            </w:pPr>
            <w:r>
              <w:rPr>
                <w:rFonts w:hint="eastAsia"/>
                <w:highlight w:val="none"/>
                <w:lang w:val="en-US" w:eastAsia="zh-CN"/>
              </w:rPr>
              <w:t>6</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6</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5"/>
              <w:rPr>
                <w:highlight w:val="none"/>
              </w:rPr>
            </w:pPr>
          </w:p>
        </w:tc>
        <w:tc>
          <w:tcPr>
            <w:tcW w:w="949" w:type="pct"/>
            <w:vMerge w:val="restart"/>
            <w:tcBorders>
              <w:top w:val="single" w:color="auto" w:sz="4" w:space="0"/>
              <w:left w:val="single" w:color="auto" w:sz="4" w:space="0"/>
              <w:right w:val="single" w:color="auto" w:sz="4" w:space="0"/>
            </w:tcBorders>
            <w:vAlign w:val="center"/>
          </w:tcPr>
          <w:p>
            <w:pPr>
              <w:pStyle w:val="15"/>
              <w:rPr>
                <w:highlight w:val="none"/>
              </w:rPr>
            </w:pPr>
            <w:r>
              <w:rPr>
                <w:rFonts w:hint="eastAsia"/>
                <w:highlight w:val="none"/>
              </w:rPr>
              <w:t>时效指标</w:t>
            </w:r>
          </w:p>
        </w:tc>
        <w:tc>
          <w:tcPr>
            <w:tcW w:w="1612" w:type="pct"/>
            <w:tcBorders>
              <w:top w:val="nil"/>
              <w:left w:val="nil"/>
              <w:bottom w:val="single" w:color="auto" w:sz="4" w:space="0"/>
              <w:right w:val="single" w:color="auto" w:sz="4" w:space="0"/>
            </w:tcBorders>
            <w:shd w:val="clear" w:color="auto" w:fill="auto"/>
            <w:vAlign w:val="center"/>
          </w:tcPr>
          <w:p>
            <w:pPr>
              <w:pStyle w:val="15"/>
              <w:rPr>
                <w:sz w:val="24"/>
                <w:szCs w:val="24"/>
                <w:highlight w:val="none"/>
              </w:rPr>
            </w:pPr>
            <w:r>
              <w:rPr>
                <w:rFonts w:hint="eastAsia"/>
                <w:sz w:val="24"/>
                <w:szCs w:val="24"/>
                <w:highlight w:val="none"/>
              </w:rPr>
              <w:t>新栏目上映及时率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default" w:eastAsia="仿宋"/>
                <w:highlight w:val="none"/>
                <w:lang w:val="en-US" w:eastAsia="zh-CN"/>
              </w:rPr>
            </w:pPr>
            <w:r>
              <w:rPr>
                <w:rFonts w:hint="eastAsia"/>
                <w:highlight w:val="none"/>
                <w:lang w:val="en-US" w:eastAsia="zh-CN"/>
              </w:rPr>
              <w:t>6</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hint="default" w:ascii="Times New Roman" w:hAnsi="Times New Roman" w:eastAsia="仿宋" w:cstheme="minorBidi"/>
                <w:kern w:val="2"/>
                <w:sz w:val="24"/>
                <w:szCs w:val="24"/>
                <w:highlight w:val="none"/>
                <w:lang w:val="en-US" w:eastAsia="zh-CN" w:bidi="ar-SA"/>
              </w:rPr>
            </w:pPr>
            <w:r>
              <w:rPr>
                <w:rFonts w:hint="eastAsia"/>
                <w:highlight w:val="none"/>
                <w:lang w:val="en-US" w:eastAsia="zh-CN"/>
              </w:rPr>
              <w:t>6</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5"/>
              <w:rPr>
                <w:highlight w:val="none"/>
              </w:rPr>
            </w:pPr>
          </w:p>
        </w:tc>
        <w:tc>
          <w:tcPr>
            <w:tcW w:w="949" w:type="pct"/>
            <w:vMerge w:val="continue"/>
            <w:tcBorders>
              <w:left w:val="single" w:color="auto" w:sz="4" w:space="0"/>
              <w:right w:val="single" w:color="auto" w:sz="4" w:space="0"/>
            </w:tcBorders>
            <w:vAlign w:val="center"/>
          </w:tcPr>
          <w:p>
            <w:pPr>
              <w:pStyle w:val="15"/>
              <w:rPr>
                <w:rFonts w:hint="eastAsia"/>
                <w:highlight w:val="none"/>
              </w:rPr>
            </w:pPr>
          </w:p>
        </w:tc>
        <w:tc>
          <w:tcPr>
            <w:tcW w:w="1612" w:type="pct"/>
            <w:tcBorders>
              <w:top w:val="nil"/>
              <w:left w:val="nil"/>
              <w:bottom w:val="single" w:color="auto" w:sz="4" w:space="0"/>
              <w:right w:val="single" w:color="auto" w:sz="4" w:space="0"/>
            </w:tcBorders>
            <w:shd w:val="clear" w:color="auto" w:fill="auto"/>
            <w:vAlign w:val="center"/>
          </w:tcPr>
          <w:p>
            <w:pPr>
              <w:pStyle w:val="15"/>
              <w:rPr>
                <w:rFonts w:hint="eastAsia"/>
                <w:sz w:val="24"/>
                <w:szCs w:val="24"/>
                <w:highlight w:val="none"/>
              </w:rPr>
            </w:pPr>
            <w:r>
              <w:rPr>
                <w:rFonts w:hint="eastAsia"/>
                <w:sz w:val="24"/>
                <w:szCs w:val="24"/>
                <w:highlight w:val="none"/>
              </w:rPr>
              <w:t>专题片上映及时率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default"/>
                <w:highlight w:val="none"/>
                <w:lang w:val="en-US" w:eastAsia="zh-CN"/>
              </w:rPr>
            </w:pPr>
            <w:r>
              <w:rPr>
                <w:rFonts w:hint="eastAsia"/>
                <w:highlight w:val="none"/>
                <w:lang w:val="en-US" w:eastAsia="zh-CN"/>
              </w:rPr>
              <w:t>6</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6</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bottom w:val="single" w:color="000000" w:sz="4" w:space="0"/>
              <w:right w:val="single" w:color="auto" w:sz="4" w:space="0"/>
            </w:tcBorders>
            <w:vAlign w:val="center"/>
          </w:tcPr>
          <w:p>
            <w:pPr>
              <w:pStyle w:val="15"/>
              <w:rPr>
                <w:highlight w:val="none"/>
              </w:rPr>
            </w:pPr>
          </w:p>
        </w:tc>
        <w:tc>
          <w:tcPr>
            <w:tcW w:w="949" w:type="pct"/>
            <w:tcBorders>
              <w:top w:val="single" w:color="auto" w:sz="4" w:space="0"/>
              <w:left w:val="single" w:color="auto" w:sz="4" w:space="0"/>
              <w:bottom w:val="single" w:color="auto" w:sz="4" w:space="0"/>
              <w:right w:val="single" w:color="auto" w:sz="4" w:space="0"/>
            </w:tcBorders>
            <w:vAlign w:val="center"/>
          </w:tcPr>
          <w:p>
            <w:pPr>
              <w:pStyle w:val="15"/>
              <w:rPr>
                <w:highlight w:val="none"/>
              </w:rPr>
            </w:pPr>
            <w:r>
              <w:rPr>
                <w:rFonts w:hint="eastAsia"/>
                <w:highlight w:val="none"/>
              </w:rPr>
              <w:t>成本指标</w:t>
            </w:r>
          </w:p>
        </w:tc>
        <w:tc>
          <w:tcPr>
            <w:tcW w:w="1612" w:type="pct"/>
            <w:tcBorders>
              <w:top w:val="single" w:color="auto" w:sz="4" w:space="0"/>
              <w:left w:val="nil"/>
              <w:bottom w:val="single" w:color="auto" w:sz="4" w:space="0"/>
              <w:right w:val="single" w:color="auto" w:sz="4" w:space="0"/>
            </w:tcBorders>
            <w:shd w:val="clear" w:color="auto" w:fill="auto"/>
            <w:vAlign w:val="center"/>
          </w:tcPr>
          <w:p>
            <w:pPr>
              <w:pStyle w:val="15"/>
              <w:rPr>
                <w:sz w:val="24"/>
                <w:szCs w:val="24"/>
                <w:highlight w:val="none"/>
              </w:rPr>
            </w:pPr>
            <w:r>
              <w:rPr>
                <w:rFonts w:hint="eastAsia"/>
                <w:sz w:val="24"/>
                <w:szCs w:val="24"/>
                <w:highlight w:val="none"/>
              </w:rPr>
              <w:t>项目总成本</w:t>
            </w:r>
          </w:p>
        </w:tc>
        <w:tc>
          <w:tcPr>
            <w:tcW w:w="852"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15"/>
              <w:rPr>
                <w:rFonts w:hint="default" w:eastAsia="仿宋"/>
                <w:highlight w:val="none"/>
                <w:lang w:val="en-US" w:eastAsia="zh-CN"/>
              </w:rPr>
            </w:pPr>
            <w:r>
              <w:rPr>
                <w:rFonts w:hint="eastAsia"/>
                <w:highlight w:val="none"/>
                <w:lang w:val="en-US" w:eastAsia="zh-CN"/>
              </w:rPr>
              <w:t>14</w:t>
            </w:r>
          </w:p>
        </w:tc>
        <w:tc>
          <w:tcPr>
            <w:tcW w:w="813"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hint="default" w:ascii="Times New Roman" w:hAnsi="Times New Roman" w:eastAsia="仿宋" w:cstheme="minorBidi"/>
                <w:kern w:val="2"/>
                <w:sz w:val="24"/>
                <w:szCs w:val="24"/>
                <w:highlight w:val="none"/>
                <w:lang w:val="en-US" w:eastAsia="zh-CN" w:bidi="ar-SA"/>
              </w:rPr>
            </w:pPr>
            <w:r>
              <w:rPr>
                <w:rFonts w:hint="eastAsia"/>
                <w:highlight w:val="none"/>
                <w:lang w:val="en-US" w:eastAsia="zh-CN"/>
              </w:rPr>
              <w:t>14</w:t>
            </w:r>
          </w:p>
        </w:tc>
      </w:tr>
      <w:tr>
        <w:tblPrEx>
          <w:tblCellMar>
            <w:top w:w="0" w:type="dxa"/>
            <w:left w:w="108" w:type="dxa"/>
            <w:bottom w:w="0" w:type="dxa"/>
            <w:right w:w="108" w:type="dxa"/>
          </w:tblCellMar>
        </w:tblPrEx>
        <w:trPr>
          <w:trHeight w:val="567" w:hRule="atLeast"/>
          <w:jc w:val="center"/>
        </w:trPr>
        <w:tc>
          <w:tcPr>
            <w:tcW w:w="772" w:type="pct"/>
            <w:vMerge w:val="restart"/>
            <w:tcBorders>
              <w:top w:val="nil"/>
              <w:left w:val="single" w:color="auto" w:sz="4" w:space="0"/>
              <w:bottom w:val="single" w:color="auto" w:sz="4" w:space="0"/>
              <w:right w:val="single" w:color="auto" w:sz="4" w:space="0"/>
            </w:tcBorders>
            <w:shd w:val="clear" w:color="auto" w:fill="auto"/>
            <w:noWrap/>
            <w:vAlign w:val="center"/>
          </w:tcPr>
          <w:p>
            <w:pPr>
              <w:pStyle w:val="15"/>
              <w:rPr>
                <w:highlight w:val="none"/>
              </w:rPr>
            </w:pPr>
            <w:r>
              <w:rPr>
                <w:rFonts w:hint="eastAsia"/>
                <w:highlight w:val="none"/>
              </w:rPr>
              <w:t>效益指标</w:t>
            </w:r>
          </w:p>
        </w:tc>
        <w:tc>
          <w:tcPr>
            <w:tcW w:w="9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5"/>
              <w:rPr>
                <w:highlight w:val="none"/>
              </w:rPr>
            </w:pPr>
            <w:r>
              <w:rPr>
                <w:rFonts w:hint="eastAsia"/>
                <w:highlight w:val="none"/>
              </w:rPr>
              <w:t>经济效益指标</w:t>
            </w: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15"/>
              <w:rPr>
                <w:sz w:val="24"/>
                <w:szCs w:val="24"/>
                <w:highlight w:val="none"/>
              </w:rPr>
            </w:pP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highlight w:val="none"/>
              </w:rPr>
            </w:pP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ascii="Times New Roman" w:hAnsi="Times New Roman" w:eastAsia="仿宋" w:cstheme="minorBidi"/>
                <w:kern w:val="2"/>
                <w:sz w:val="24"/>
                <w:szCs w:val="24"/>
                <w:highlight w:val="none"/>
                <w:lang w:val="en-US" w:eastAsia="zh-CN" w:bidi="ar-SA"/>
              </w:rPr>
            </w:pP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shd w:val="clear" w:color="auto" w:fill="auto"/>
            <w:noWrap/>
            <w:vAlign w:val="center"/>
          </w:tcPr>
          <w:p>
            <w:pPr>
              <w:pStyle w:val="15"/>
              <w:rPr>
                <w:highlight w:val="none"/>
              </w:rPr>
            </w:pPr>
          </w:p>
        </w:tc>
        <w:tc>
          <w:tcPr>
            <w:tcW w:w="949" w:type="pct"/>
            <w:vMerge w:val="restart"/>
            <w:tcBorders>
              <w:top w:val="single" w:color="auto" w:sz="4" w:space="0"/>
              <w:left w:val="single" w:color="auto" w:sz="4" w:space="0"/>
              <w:right w:val="single" w:color="auto" w:sz="4" w:space="0"/>
            </w:tcBorders>
            <w:shd w:val="clear" w:color="auto" w:fill="auto"/>
            <w:vAlign w:val="center"/>
          </w:tcPr>
          <w:p>
            <w:pPr>
              <w:pStyle w:val="15"/>
              <w:rPr>
                <w:highlight w:val="none"/>
              </w:rPr>
            </w:pPr>
            <w:r>
              <w:rPr>
                <w:rFonts w:hint="eastAsia"/>
                <w:highlight w:val="none"/>
              </w:rPr>
              <w:t>社会效益指标</w:t>
            </w: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15"/>
              <w:rPr>
                <w:sz w:val="24"/>
                <w:szCs w:val="24"/>
                <w:highlight w:val="none"/>
              </w:rPr>
            </w:pPr>
            <w:r>
              <w:rPr>
                <w:rFonts w:hint="eastAsia"/>
                <w:sz w:val="24"/>
                <w:szCs w:val="24"/>
                <w:highlight w:val="none"/>
              </w:rPr>
              <w:t>促进县委县政府中心工作</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default" w:eastAsia="仿宋"/>
                <w:highlight w:val="none"/>
                <w:lang w:val="en-US" w:eastAsia="zh-CN"/>
              </w:rPr>
            </w:pPr>
            <w:r>
              <w:rPr>
                <w:rFonts w:hint="eastAsia"/>
                <w:highlight w:val="none"/>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hint="default" w:ascii="Times New Roman" w:hAnsi="Times New Roman" w:eastAsia="仿宋" w:cstheme="minorBidi"/>
                <w:kern w:val="2"/>
                <w:sz w:val="24"/>
                <w:szCs w:val="24"/>
                <w:highlight w:val="none"/>
                <w:lang w:val="en-US" w:eastAsia="zh-CN" w:bidi="ar-SA"/>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shd w:val="clear" w:color="auto" w:fill="auto"/>
            <w:noWrap/>
            <w:vAlign w:val="center"/>
          </w:tcPr>
          <w:p>
            <w:pPr>
              <w:pStyle w:val="15"/>
              <w:rPr>
                <w:highlight w:val="none"/>
              </w:rPr>
            </w:pPr>
          </w:p>
        </w:tc>
        <w:tc>
          <w:tcPr>
            <w:tcW w:w="949" w:type="pct"/>
            <w:vMerge w:val="continue"/>
            <w:tcBorders>
              <w:left w:val="single" w:color="auto" w:sz="4" w:space="0"/>
              <w:right w:val="single" w:color="auto" w:sz="4" w:space="0"/>
            </w:tcBorders>
            <w:shd w:val="clear" w:color="auto" w:fill="auto"/>
            <w:vAlign w:val="center"/>
          </w:tcPr>
          <w:p>
            <w:pPr>
              <w:pStyle w:val="15"/>
              <w:rPr>
                <w:rFonts w:hint="eastAsia"/>
                <w:highlight w:val="none"/>
              </w:rPr>
            </w:pP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15"/>
              <w:rPr>
                <w:sz w:val="24"/>
                <w:szCs w:val="24"/>
                <w:highlight w:val="none"/>
              </w:rPr>
            </w:pPr>
            <w:r>
              <w:rPr>
                <w:rFonts w:hint="eastAsia"/>
                <w:sz w:val="24"/>
                <w:szCs w:val="24"/>
                <w:highlight w:val="none"/>
              </w:rPr>
              <w:t>加强新闻舆论的报道力度</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default" w:eastAsia="仿宋"/>
                <w:highlight w:val="none"/>
                <w:lang w:val="en-US" w:eastAsia="zh-CN"/>
              </w:rPr>
            </w:pPr>
            <w:r>
              <w:rPr>
                <w:rFonts w:hint="eastAsia"/>
                <w:highlight w:val="none"/>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hint="default" w:ascii="Times New Roman" w:hAnsi="Times New Roman" w:eastAsia="仿宋" w:cstheme="minorBidi"/>
                <w:kern w:val="2"/>
                <w:sz w:val="24"/>
                <w:szCs w:val="24"/>
                <w:highlight w:val="none"/>
                <w:lang w:val="en-US" w:eastAsia="zh-CN" w:bidi="ar-SA"/>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shd w:val="clear" w:color="auto" w:fill="auto"/>
            <w:noWrap/>
            <w:vAlign w:val="center"/>
          </w:tcPr>
          <w:p>
            <w:pPr>
              <w:pStyle w:val="15"/>
              <w:rPr>
                <w:highlight w:val="none"/>
              </w:rPr>
            </w:pPr>
          </w:p>
        </w:tc>
        <w:tc>
          <w:tcPr>
            <w:tcW w:w="949" w:type="pct"/>
            <w:vMerge w:val="continue"/>
            <w:tcBorders>
              <w:left w:val="single" w:color="auto" w:sz="4" w:space="0"/>
              <w:bottom w:val="single" w:color="auto" w:sz="4" w:space="0"/>
              <w:right w:val="single" w:color="auto" w:sz="4" w:space="0"/>
            </w:tcBorders>
            <w:shd w:val="clear" w:color="auto" w:fill="auto"/>
            <w:vAlign w:val="center"/>
          </w:tcPr>
          <w:p>
            <w:pPr>
              <w:pStyle w:val="15"/>
              <w:rPr>
                <w:highlight w:val="none"/>
              </w:rPr>
            </w:pP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15"/>
              <w:rPr>
                <w:sz w:val="24"/>
                <w:szCs w:val="24"/>
                <w:highlight w:val="none"/>
              </w:rPr>
            </w:pPr>
            <w:r>
              <w:rPr>
                <w:rFonts w:hint="eastAsia"/>
                <w:sz w:val="24"/>
                <w:szCs w:val="24"/>
                <w:highlight w:val="none"/>
              </w:rPr>
              <w:t>加强太康名片的影响力</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eastAsia" w:eastAsia="仿宋"/>
                <w:highlight w:val="none"/>
                <w:lang w:val="en-US" w:eastAsia="zh-CN"/>
              </w:rPr>
            </w:pPr>
            <w:r>
              <w:rPr>
                <w:rFonts w:hint="eastAsia"/>
                <w:highlight w:val="none"/>
                <w:lang w:val="en-US" w:eastAsia="zh-CN"/>
              </w:rPr>
              <w:t>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5</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shd w:val="clear" w:color="auto" w:fill="auto"/>
            <w:noWrap/>
            <w:vAlign w:val="center"/>
          </w:tcPr>
          <w:p>
            <w:pPr>
              <w:pStyle w:val="15"/>
              <w:rPr>
                <w:highlight w:val="none"/>
              </w:rPr>
            </w:pPr>
          </w:p>
        </w:tc>
        <w:tc>
          <w:tcPr>
            <w:tcW w:w="9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5"/>
              <w:rPr>
                <w:highlight w:val="none"/>
              </w:rPr>
            </w:pPr>
            <w:r>
              <w:rPr>
                <w:rFonts w:hint="eastAsia"/>
                <w:highlight w:val="none"/>
              </w:rPr>
              <w:t>生态效益指标</w:t>
            </w: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15"/>
              <w:rPr>
                <w:sz w:val="24"/>
                <w:szCs w:val="24"/>
                <w:highlight w:val="none"/>
              </w:rPr>
            </w:pP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highlight w:val="none"/>
              </w:rPr>
            </w:pP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highlight w:val="none"/>
              </w:rPr>
            </w:pPr>
          </w:p>
        </w:tc>
      </w:tr>
      <w:tr>
        <w:tblPrEx>
          <w:tblCellMar>
            <w:top w:w="0" w:type="dxa"/>
            <w:left w:w="108" w:type="dxa"/>
            <w:bottom w:w="0" w:type="dxa"/>
            <w:right w:w="108" w:type="dxa"/>
          </w:tblCellMar>
        </w:tblPrEx>
        <w:trPr>
          <w:trHeight w:val="567" w:hRule="atLeast"/>
          <w:jc w:val="center"/>
        </w:trPr>
        <w:tc>
          <w:tcPr>
            <w:tcW w:w="772" w:type="pct"/>
            <w:vMerge w:val="continue"/>
            <w:tcBorders>
              <w:top w:val="nil"/>
              <w:left w:val="single" w:color="auto" w:sz="4" w:space="0"/>
              <w:bottom w:val="single" w:color="auto" w:sz="4" w:space="0"/>
              <w:right w:val="single" w:color="auto" w:sz="4" w:space="0"/>
            </w:tcBorders>
            <w:vAlign w:val="center"/>
          </w:tcPr>
          <w:p>
            <w:pPr>
              <w:pStyle w:val="15"/>
              <w:rPr>
                <w:highlight w:val="none"/>
              </w:rPr>
            </w:pPr>
          </w:p>
        </w:tc>
        <w:tc>
          <w:tcPr>
            <w:tcW w:w="9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5"/>
              <w:rPr>
                <w:highlight w:val="none"/>
              </w:rPr>
            </w:pPr>
            <w:r>
              <w:rPr>
                <w:rFonts w:hint="eastAsia"/>
                <w:highlight w:val="none"/>
              </w:rPr>
              <w:t>可持续影响指标</w:t>
            </w:r>
          </w:p>
        </w:tc>
        <w:tc>
          <w:tcPr>
            <w:tcW w:w="1612" w:type="pct"/>
            <w:tcBorders>
              <w:top w:val="single" w:color="000000" w:sz="4" w:space="0"/>
              <w:left w:val="nil"/>
              <w:bottom w:val="single" w:color="auto" w:sz="4" w:space="0"/>
              <w:right w:val="single" w:color="000000" w:sz="4" w:space="0"/>
            </w:tcBorders>
            <w:shd w:val="clear" w:color="auto" w:fill="auto"/>
            <w:vAlign w:val="center"/>
          </w:tcPr>
          <w:p>
            <w:pPr>
              <w:pStyle w:val="15"/>
              <w:rPr>
                <w:sz w:val="24"/>
                <w:szCs w:val="24"/>
                <w:highlight w:val="none"/>
              </w:rPr>
            </w:pPr>
            <w:r>
              <w:rPr>
                <w:rFonts w:hint="eastAsia"/>
                <w:sz w:val="24"/>
                <w:szCs w:val="24"/>
                <w:highlight w:val="none"/>
              </w:rPr>
              <w:t>持续助力树立良好的社会风气</w:t>
            </w:r>
          </w:p>
        </w:tc>
        <w:tc>
          <w:tcPr>
            <w:tcW w:w="852" w:type="pct"/>
            <w:tcBorders>
              <w:top w:val="single" w:color="000000" w:sz="4" w:space="0"/>
              <w:left w:val="single" w:color="000000" w:sz="4" w:space="0"/>
              <w:bottom w:val="single" w:color="auto" w:sz="4" w:space="0"/>
              <w:right w:val="single" w:color="000000" w:sz="4" w:space="0"/>
            </w:tcBorders>
            <w:shd w:val="clear" w:color="auto" w:fill="auto"/>
            <w:vAlign w:val="center"/>
          </w:tcPr>
          <w:p>
            <w:pPr>
              <w:pStyle w:val="15"/>
              <w:rPr>
                <w:rFonts w:hint="eastAsia" w:eastAsia="仿宋"/>
                <w:highlight w:val="none"/>
                <w:lang w:val="en-US" w:eastAsia="zh-CN"/>
              </w:rPr>
            </w:pPr>
            <w:r>
              <w:rPr>
                <w:rFonts w:hint="eastAsia"/>
                <w:highlight w:val="none"/>
                <w:lang w:val="en-US" w:eastAsia="zh-CN"/>
              </w:rPr>
              <w:t>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5</w:t>
            </w:r>
          </w:p>
        </w:tc>
      </w:tr>
      <w:tr>
        <w:tblPrEx>
          <w:tblCellMar>
            <w:top w:w="0" w:type="dxa"/>
            <w:left w:w="108" w:type="dxa"/>
            <w:bottom w:w="0" w:type="dxa"/>
            <w:right w:w="108" w:type="dxa"/>
          </w:tblCellMar>
        </w:tblPrEx>
        <w:trPr>
          <w:trHeight w:val="567" w:hRule="atLeast"/>
          <w:jc w:val="center"/>
        </w:trPr>
        <w:tc>
          <w:tcPr>
            <w:tcW w:w="772" w:type="pct"/>
            <w:tcBorders>
              <w:top w:val="single" w:color="auto" w:sz="4" w:space="0"/>
              <w:left w:val="single" w:color="auto" w:sz="4" w:space="0"/>
              <w:bottom w:val="single" w:color="auto" w:sz="4" w:space="0"/>
              <w:right w:val="single" w:color="auto" w:sz="4" w:space="0"/>
            </w:tcBorders>
            <w:shd w:val="clear" w:color="auto" w:fill="auto"/>
            <w:noWrap/>
            <w:vAlign w:val="center"/>
          </w:tcPr>
          <w:p>
            <w:pPr>
              <w:pStyle w:val="15"/>
              <w:rPr>
                <w:highlight w:val="none"/>
              </w:rPr>
            </w:pPr>
            <w:r>
              <w:rPr>
                <w:rFonts w:hint="eastAsia"/>
                <w:highlight w:val="none"/>
              </w:rPr>
              <w:t>满意度</w:t>
            </w:r>
          </w:p>
          <w:p>
            <w:pPr>
              <w:pStyle w:val="15"/>
              <w:rPr>
                <w:highlight w:val="none"/>
              </w:rPr>
            </w:pPr>
            <w:r>
              <w:rPr>
                <w:rFonts w:hint="eastAsia"/>
                <w:highlight w:val="none"/>
              </w:rPr>
              <w:t>指标</w:t>
            </w:r>
          </w:p>
        </w:tc>
        <w:tc>
          <w:tcPr>
            <w:tcW w:w="949" w:type="pct"/>
            <w:tcBorders>
              <w:top w:val="single" w:color="auto" w:sz="4" w:space="0"/>
              <w:left w:val="nil"/>
              <w:bottom w:val="single" w:color="auto" w:sz="4" w:space="0"/>
              <w:right w:val="single" w:color="auto" w:sz="4" w:space="0"/>
            </w:tcBorders>
            <w:shd w:val="clear" w:color="auto" w:fill="auto"/>
            <w:noWrap/>
            <w:vAlign w:val="center"/>
          </w:tcPr>
          <w:p>
            <w:pPr>
              <w:pStyle w:val="15"/>
              <w:rPr>
                <w:highlight w:val="none"/>
              </w:rPr>
            </w:pPr>
            <w:r>
              <w:rPr>
                <w:rFonts w:hint="eastAsia"/>
                <w:highlight w:val="none"/>
              </w:rPr>
              <w:t>服务对象满意度指标</w:t>
            </w:r>
          </w:p>
        </w:tc>
        <w:tc>
          <w:tcPr>
            <w:tcW w:w="1612" w:type="pct"/>
            <w:tcBorders>
              <w:top w:val="single" w:color="auto" w:sz="4" w:space="0"/>
              <w:left w:val="nil"/>
              <w:bottom w:val="single" w:color="auto" w:sz="4" w:space="0"/>
              <w:right w:val="single" w:color="auto" w:sz="4" w:space="0"/>
            </w:tcBorders>
            <w:shd w:val="clear" w:color="auto" w:fill="auto"/>
            <w:noWrap/>
            <w:vAlign w:val="center"/>
          </w:tcPr>
          <w:p>
            <w:pPr>
              <w:pStyle w:val="15"/>
              <w:rPr>
                <w:sz w:val="24"/>
                <w:szCs w:val="24"/>
                <w:highlight w:val="none"/>
              </w:rPr>
            </w:pPr>
            <w:r>
              <w:rPr>
                <w:rFonts w:hint="eastAsia"/>
                <w:sz w:val="24"/>
                <w:szCs w:val="24"/>
                <w:highlight w:val="none"/>
              </w:rPr>
              <w:t>群众满意度</w:t>
            </w:r>
          </w:p>
        </w:tc>
        <w:tc>
          <w:tcPr>
            <w:tcW w:w="852" w:type="pct"/>
            <w:tcBorders>
              <w:top w:val="single" w:color="auto" w:sz="4" w:space="0"/>
              <w:left w:val="single" w:color="000000" w:sz="4" w:space="0"/>
              <w:bottom w:val="single" w:color="auto" w:sz="4" w:space="0"/>
              <w:right w:val="single" w:color="000000" w:sz="4" w:space="0"/>
            </w:tcBorders>
            <w:shd w:val="clear" w:color="auto" w:fill="auto"/>
            <w:noWrap/>
            <w:vAlign w:val="center"/>
          </w:tcPr>
          <w:p>
            <w:pPr>
              <w:pStyle w:val="15"/>
              <w:rPr>
                <w:rFonts w:hint="default" w:eastAsia="仿宋"/>
                <w:highlight w:val="none"/>
                <w:lang w:val="en-US" w:eastAsia="zh-CN"/>
              </w:rPr>
            </w:pPr>
            <w:r>
              <w:rPr>
                <w:rFonts w:hint="eastAsia"/>
                <w:highlight w:val="none"/>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ind w:firstLine="0" w:firstLineChars="0"/>
              <w:rPr>
                <w:rFonts w:hint="default" w:ascii="Times New Roman" w:hAnsi="Times New Roman" w:eastAsia="仿宋" w:cstheme="minorBidi"/>
                <w:kern w:val="2"/>
                <w:sz w:val="24"/>
                <w:szCs w:val="24"/>
                <w:highlight w:val="none"/>
                <w:lang w:val="en-US" w:eastAsia="zh-CN" w:bidi="ar-SA"/>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3334"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pStyle w:val="15"/>
              <w:rPr>
                <w:highlight w:val="none"/>
              </w:rPr>
            </w:pPr>
            <w:r>
              <w:rPr>
                <w:rFonts w:hint="eastAsia"/>
                <w:highlight w:val="none"/>
              </w:rPr>
              <w:t>总分</w:t>
            </w:r>
          </w:p>
        </w:tc>
        <w:tc>
          <w:tcPr>
            <w:tcW w:w="852" w:type="pct"/>
            <w:tcBorders>
              <w:top w:val="single" w:color="auto" w:sz="4" w:space="0"/>
              <w:left w:val="nil"/>
              <w:bottom w:val="single" w:color="auto" w:sz="4" w:space="0"/>
              <w:right w:val="single" w:color="auto" w:sz="4" w:space="0"/>
            </w:tcBorders>
            <w:shd w:val="clear" w:color="auto" w:fill="auto"/>
            <w:noWrap/>
            <w:vAlign w:val="center"/>
          </w:tcPr>
          <w:p>
            <w:pPr>
              <w:pStyle w:val="15"/>
              <w:rPr>
                <w:highlight w:val="none"/>
              </w:rPr>
            </w:pPr>
            <w:r>
              <w:rPr>
                <w:rFonts w:hint="eastAsia"/>
                <w:highlight w:val="none"/>
              </w:rPr>
              <w:t>1</w:t>
            </w:r>
            <w:r>
              <w:rPr>
                <w:highlight w:val="none"/>
              </w:rPr>
              <w:t>00</w:t>
            </w:r>
          </w:p>
        </w:tc>
        <w:tc>
          <w:tcPr>
            <w:tcW w:w="813" w:type="pct"/>
            <w:tcBorders>
              <w:top w:val="single" w:color="auto" w:sz="4" w:space="0"/>
              <w:left w:val="nil"/>
              <w:bottom w:val="single" w:color="auto" w:sz="4" w:space="0"/>
              <w:right w:val="single" w:color="auto" w:sz="4" w:space="0"/>
            </w:tcBorders>
            <w:shd w:val="clear" w:color="auto" w:fill="auto"/>
            <w:noWrap/>
            <w:vAlign w:val="center"/>
          </w:tcPr>
          <w:p>
            <w:pPr>
              <w:pStyle w:val="15"/>
              <w:rPr>
                <w:rFonts w:hint="default" w:eastAsia="仿宋"/>
                <w:highlight w:val="none"/>
                <w:lang w:val="en-US" w:eastAsia="zh-CN"/>
              </w:rPr>
            </w:pPr>
            <w:r>
              <w:rPr>
                <w:rFonts w:hint="eastAsia"/>
                <w:highlight w:val="none"/>
                <w:lang w:val="en-US" w:eastAsia="zh-CN"/>
              </w:rPr>
              <w:t>100</w:t>
            </w:r>
          </w:p>
        </w:tc>
      </w:tr>
    </w:tbl>
    <w:p>
      <w:pPr>
        <w:pStyle w:val="3"/>
        <w:rPr>
          <w:highlight w:val="none"/>
        </w:rPr>
      </w:pPr>
      <w:bookmarkStart w:id="43" w:name="_Toc31442"/>
      <w:bookmarkStart w:id="44" w:name="_Toc26834"/>
      <w:bookmarkStart w:id="45" w:name="_Toc79333445"/>
      <w:r>
        <w:rPr>
          <w:rFonts w:hint="eastAsia"/>
          <w:highlight w:val="none"/>
        </w:rPr>
        <w:t>（二）自评指标分析</w:t>
      </w:r>
      <w:bookmarkEnd w:id="43"/>
      <w:bookmarkEnd w:id="44"/>
      <w:bookmarkEnd w:id="45"/>
    </w:p>
    <w:p>
      <w:pPr>
        <w:pStyle w:val="4"/>
        <w:ind w:firstLine="643"/>
        <w:rPr>
          <w:highlight w:val="none"/>
        </w:rPr>
      </w:pPr>
      <w:bookmarkStart w:id="46" w:name="_Toc79333446"/>
      <w:bookmarkStart w:id="47" w:name="_Toc9747"/>
      <w:r>
        <w:rPr>
          <w:rFonts w:hint="eastAsia"/>
          <w:highlight w:val="none"/>
        </w:rPr>
        <w:t>1、预算执行指标分析</w:t>
      </w:r>
      <w:bookmarkEnd w:id="46"/>
      <w:bookmarkEnd w:id="47"/>
    </w:p>
    <w:p>
      <w:pPr>
        <w:ind w:firstLine="640"/>
        <w:rPr>
          <w:highlight w:val="none"/>
        </w:rPr>
      </w:pPr>
      <w:r>
        <w:rPr>
          <w:rFonts w:hint="eastAsia"/>
          <w:highlight w:val="none"/>
        </w:rPr>
        <w:t>一级指标“预算执行”下设一个二级指标和一个三级指标，均为“预算执行率”，该指标标准分值</w:t>
      </w:r>
      <w:r>
        <w:rPr>
          <w:highlight w:val="none"/>
        </w:rPr>
        <w:t>10分，实际得分</w:t>
      </w:r>
      <w:r>
        <w:rPr>
          <w:rFonts w:hint="eastAsia"/>
          <w:highlight w:val="none"/>
          <w:lang w:val="en-US" w:eastAsia="zh-CN"/>
        </w:rPr>
        <w:t>10</w:t>
      </w:r>
      <w:r>
        <w:rPr>
          <w:rFonts w:hint="eastAsia"/>
          <w:highlight w:val="none"/>
        </w:rPr>
        <w:t>分。</w:t>
      </w:r>
    </w:p>
    <w:p>
      <w:pPr>
        <w:ind w:firstLine="640"/>
        <w:rPr>
          <w:highlight w:val="none"/>
        </w:rPr>
      </w:pPr>
      <w:r>
        <w:rPr>
          <w:rFonts w:hint="eastAsia"/>
          <w:highlight w:val="none"/>
        </w:rPr>
        <w:t>项目全年预算资金为</w:t>
      </w:r>
      <w:r>
        <w:rPr>
          <w:rFonts w:hint="eastAsia"/>
          <w:highlight w:val="none"/>
          <w:lang w:val="en-US" w:eastAsia="zh-CN"/>
        </w:rPr>
        <w:t>50</w:t>
      </w:r>
      <w:r>
        <w:rPr>
          <w:rFonts w:hint="eastAsia"/>
          <w:highlight w:val="none"/>
        </w:rPr>
        <w:t>万元，全年执行数为</w:t>
      </w:r>
      <w:r>
        <w:rPr>
          <w:rFonts w:hint="eastAsia"/>
          <w:highlight w:val="none"/>
          <w:lang w:val="en-US" w:eastAsia="zh-CN"/>
        </w:rPr>
        <w:t>50</w:t>
      </w:r>
      <w:r>
        <w:rPr>
          <w:rFonts w:hint="eastAsia"/>
          <w:highlight w:val="none"/>
        </w:rPr>
        <w:t>万元，预算执行率</w:t>
      </w:r>
      <w:r>
        <w:rPr>
          <w:rFonts w:hint="eastAsia"/>
          <w:highlight w:val="none"/>
          <w:lang w:val="en-US" w:eastAsia="zh-CN"/>
        </w:rPr>
        <w:t>100</w:t>
      </w:r>
      <w:r>
        <w:rPr>
          <w:highlight w:val="none"/>
        </w:rPr>
        <w:t>%，根据评分标准，预算执行率得分</w:t>
      </w:r>
      <w:r>
        <w:rPr>
          <w:rFonts w:hint="eastAsia"/>
          <w:highlight w:val="none"/>
          <w:lang w:val="en-US" w:eastAsia="zh-CN"/>
        </w:rPr>
        <w:t>10</w:t>
      </w:r>
      <w:r>
        <w:rPr>
          <w:rFonts w:hint="eastAsia"/>
          <w:highlight w:val="none"/>
        </w:rPr>
        <w:t>分。</w:t>
      </w:r>
    </w:p>
    <w:p>
      <w:pPr>
        <w:pStyle w:val="4"/>
        <w:ind w:firstLine="643"/>
        <w:rPr>
          <w:highlight w:val="none"/>
        </w:rPr>
      </w:pPr>
      <w:bookmarkStart w:id="48" w:name="_Toc79333447"/>
      <w:r>
        <w:rPr>
          <w:rFonts w:hint="eastAsia"/>
          <w:highlight w:val="none"/>
        </w:rPr>
        <w:t>2、产出指标分析</w:t>
      </w:r>
      <w:bookmarkEnd w:id="48"/>
    </w:p>
    <w:p>
      <w:pPr>
        <w:ind w:firstLine="640"/>
        <w:rPr>
          <w:highlight w:val="none"/>
        </w:rPr>
      </w:pPr>
      <w:r>
        <w:rPr>
          <w:rFonts w:hint="eastAsia"/>
          <w:highlight w:val="none"/>
        </w:rPr>
        <w:t>一级指标“产出指标”下设四个二级指标分别是：“数量指标”、“质量指标”、“时效指标”和“成本指标”。</w:t>
      </w:r>
    </w:p>
    <w:p>
      <w:pPr>
        <w:ind w:firstLine="640"/>
        <w:rPr>
          <w:highlight w:val="none"/>
        </w:rPr>
      </w:pPr>
      <w:r>
        <w:rPr>
          <w:rFonts w:hint="eastAsia"/>
          <w:highlight w:val="none"/>
        </w:rPr>
        <w:t>（1）数量指标</w:t>
      </w:r>
    </w:p>
    <w:p>
      <w:pPr>
        <w:ind w:firstLine="640"/>
        <w:rPr>
          <w:rFonts w:hint="eastAsia" w:ascii="仿宋" w:hAnsi="仿宋" w:eastAsia="仿宋" w:cs="仿宋"/>
          <w:highlight w:val="none"/>
        </w:rPr>
      </w:pPr>
      <w:r>
        <w:rPr>
          <w:rFonts w:hint="eastAsia"/>
          <w:highlight w:val="none"/>
        </w:rPr>
        <w:t>“数量指标”下设二个三级指标“开办新栏目”及“制作专题</w:t>
      </w:r>
      <w:r>
        <w:rPr>
          <w:rFonts w:hint="eastAsia" w:ascii="仿宋" w:hAnsi="仿宋" w:eastAsia="仿宋" w:cs="仿宋"/>
          <w:highlight w:val="none"/>
        </w:rPr>
        <w:t>片”。</w:t>
      </w:r>
    </w:p>
    <w:p>
      <w:pPr>
        <w:ind w:firstLine="640"/>
        <w:rPr>
          <w:rFonts w:hint="eastAsia" w:ascii="仿宋" w:hAnsi="仿宋" w:eastAsia="仿宋" w:cs="仿宋"/>
          <w:highlight w:val="none"/>
        </w:rPr>
      </w:pPr>
      <w:r>
        <w:rPr>
          <w:rFonts w:hint="eastAsia" w:ascii="仿宋" w:hAnsi="仿宋" w:eastAsia="仿宋" w:cs="仿宋"/>
          <w:highlight w:val="none"/>
        </w:rPr>
        <w:t>开办新栏目</w:t>
      </w:r>
      <w:r>
        <w:rPr>
          <w:rFonts w:hint="eastAsia" w:ascii="仿宋" w:hAnsi="仿宋" w:eastAsia="仿宋" w:cs="仿宋"/>
          <w:i w:val="0"/>
          <w:iCs w:val="0"/>
          <w:caps w:val="0"/>
          <w:color w:val="3D3D3D"/>
          <w:spacing w:val="0"/>
          <w:sz w:val="32"/>
          <w:szCs w:val="32"/>
          <w:highlight w:val="none"/>
          <w:shd w:val="clear" w:color="auto" w:fill="FFFFFF"/>
          <w:lang w:val="en-US" w:eastAsia="zh-CN"/>
        </w:rPr>
        <w:t>项目</w:t>
      </w:r>
      <w:r>
        <w:rPr>
          <w:rFonts w:hint="eastAsia" w:ascii="仿宋" w:hAnsi="仿宋" w:eastAsia="仿宋" w:cs="仿宋"/>
          <w:highlight w:val="none"/>
        </w:rPr>
        <w:t>完成率为100%，该指标标准分值</w:t>
      </w:r>
      <w:r>
        <w:rPr>
          <w:rFonts w:hint="eastAsia" w:cs="仿宋"/>
          <w:highlight w:val="none"/>
          <w:lang w:val="en-US" w:eastAsia="zh-CN"/>
        </w:rPr>
        <w:t>6</w:t>
      </w:r>
      <w:r>
        <w:rPr>
          <w:rFonts w:hint="eastAsia" w:ascii="仿宋" w:hAnsi="仿宋" w:eastAsia="仿宋" w:cs="仿宋"/>
          <w:highlight w:val="none"/>
        </w:rPr>
        <w:t>分，得</w:t>
      </w:r>
      <w:r>
        <w:rPr>
          <w:rFonts w:hint="eastAsia" w:cs="仿宋"/>
          <w:highlight w:val="none"/>
          <w:lang w:val="en-US" w:eastAsia="zh-CN"/>
        </w:rPr>
        <w:t>6</w:t>
      </w:r>
      <w:r>
        <w:rPr>
          <w:rFonts w:hint="eastAsia" w:ascii="仿宋" w:hAnsi="仿宋" w:eastAsia="仿宋" w:cs="仿宋"/>
          <w:highlight w:val="none"/>
        </w:rPr>
        <w:t>分；制作专题片完成率为</w:t>
      </w:r>
      <w:r>
        <w:rPr>
          <w:rFonts w:hint="eastAsia" w:ascii="仿宋" w:hAnsi="仿宋" w:eastAsia="仿宋" w:cs="仿宋"/>
          <w:highlight w:val="none"/>
          <w:lang w:val="en-US" w:eastAsia="zh-CN"/>
        </w:rPr>
        <w:t>10</w:t>
      </w:r>
      <w:r>
        <w:rPr>
          <w:rFonts w:hint="eastAsia" w:ascii="仿宋" w:hAnsi="仿宋" w:eastAsia="仿宋" w:cs="仿宋"/>
          <w:highlight w:val="none"/>
        </w:rPr>
        <w:t>0%，该指标标准分值</w:t>
      </w:r>
      <w:r>
        <w:rPr>
          <w:rFonts w:hint="eastAsia" w:cs="仿宋"/>
          <w:highlight w:val="none"/>
          <w:lang w:val="en-US" w:eastAsia="zh-CN"/>
        </w:rPr>
        <w:t>6</w:t>
      </w:r>
      <w:r>
        <w:rPr>
          <w:rFonts w:hint="eastAsia" w:ascii="仿宋" w:hAnsi="仿宋" w:eastAsia="仿宋" w:cs="仿宋"/>
          <w:highlight w:val="none"/>
        </w:rPr>
        <w:t>分，得</w:t>
      </w:r>
      <w:r>
        <w:rPr>
          <w:rFonts w:hint="eastAsia" w:cs="仿宋"/>
          <w:highlight w:val="none"/>
          <w:lang w:val="en-US" w:eastAsia="zh-CN"/>
        </w:rPr>
        <w:t>6</w:t>
      </w:r>
      <w:r>
        <w:rPr>
          <w:rFonts w:hint="eastAsia" w:ascii="仿宋" w:hAnsi="仿宋" w:eastAsia="仿宋" w:cs="仿宋"/>
          <w:highlight w:val="none"/>
        </w:rPr>
        <w:t>分。</w:t>
      </w:r>
    </w:p>
    <w:p>
      <w:pPr>
        <w:ind w:firstLine="640"/>
        <w:rPr>
          <w:highlight w:val="none"/>
        </w:rPr>
      </w:pPr>
      <w:r>
        <w:rPr>
          <w:rFonts w:hint="eastAsia" w:ascii="仿宋" w:hAnsi="仿宋" w:eastAsia="仿宋" w:cs="仿宋"/>
          <w:highlight w:val="none"/>
        </w:rPr>
        <w:t>综上所述，根据评分标准，数量指标实际得</w:t>
      </w:r>
      <w:r>
        <w:rPr>
          <w:rFonts w:hint="eastAsia" w:cs="仿宋"/>
          <w:highlight w:val="none"/>
          <w:lang w:val="en-US" w:eastAsia="zh-CN"/>
        </w:rPr>
        <w:t>12</w:t>
      </w:r>
      <w:r>
        <w:rPr>
          <w:rFonts w:hint="eastAsia" w:ascii="仿宋" w:hAnsi="仿宋" w:eastAsia="仿宋" w:cs="仿宋"/>
          <w:highlight w:val="none"/>
        </w:rPr>
        <w:t>分</w:t>
      </w:r>
      <w:r>
        <w:rPr>
          <w:highlight w:val="none"/>
        </w:rPr>
        <w:t>。</w:t>
      </w:r>
    </w:p>
    <w:p>
      <w:pPr>
        <w:ind w:firstLine="640"/>
        <w:rPr>
          <w:highlight w:val="none"/>
        </w:rPr>
      </w:pPr>
      <w:r>
        <w:rPr>
          <w:rFonts w:hint="eastAsia"/>
          <w:highlight w:val="none"/>
        </w:rPr>
        <w:t>（2）质量指标</w:t>
      </w:r>
    </w:p>
    <w:p>
      <w:pPr>
        <w:ind w:firstLine="640"/>
        <w:rPr>
          <w:highlight w:val="none"/>
        </w:rPr>
      </w:pPr>
      <w:r>
        <w:rPr>
          <w:rFonts w:hint="eastAsia"/>
          <w:highlight w:val="none"/>
        </w:rPr>
        <w:t>“质量指标”下设</w:t>
      </w:r>
      <w:r>
        <w:rPr>
          <w:rFonts w:hint="eastAsia"/>
          <w:highlight w:val="none"/>
          <w:lang w:eastAsia="zh-CN"/>
        </w:rPr>
        <w:t>二</w:t>
      </w:r>
      <w:r>
        <w:rPr>
          <w:rFonts w:hint="eastAsia"/>
          <w:highlight w:val="none"/>
        </w:rPr>
        <w:t>个三级指标“新栏目审核通过率”</w:t>
      </w:r>
      <w:r>
        <w:rPr>
          <w:rFonts w:hint="eastAsia"/>
          <w:highlight w:val="none"/>
          <w:lang w:eastAsia="zh-CN"/>
        </w:rPr>
        <w:t>、</w:t>
      </w:r>
      <w:r>
        <w:rPr>
          <w:rFonts w:hint="eastAsia"/>
          <w:highlight w:val="none"/>
        </w:rPr>
        <w:t>“专题片审核通过率”。</w:t>
      </w:r>
    </w:p>
    <w:p>
      <w:pPr>
        <w:ind w:firstLine="640"/>
        <w:rPr>
          <w:rFonts w:hint="eastAsia"/>
          <w:highlight w:val="none"/>
        </w:rPr>
      </w:pPr>
      <w:r>
        <w:rPr>
          <w:rFonts w:hint="eastAsia"/>
          <w:highlight w:val="none"/>
        </w:rPr>
        <w:t>根据指标要求，新栏目审核通过率</w:t>
      </w:r>
      <w:r>
        <w:rPr>
          <w:rFonts w:hint="eastAsia"/>
          <w:highlight w:val="none"/>
          <w:lang w:eastAsia="zh-CN"/>
        </w:rPr>
        <w:t>为</w:t>
      </w:r>
      <w:r>
        <w:rPr>
          <w:rFonts w:hint="eastAsia"/>
          <w:highlight w:val="none"/>
          <w:lang w:val="en-US" w:eastAsia="zh-CN"/>
        </w:rPr>
        <w:t>100%</w:t>
      </w:r>
      <w:r>
        <w:rPr>
          <w:rFonts w:hint="eastAsia"/>
          <w:highlight w:val="none"/>
        </w:rPr>
        <w:t>，该指标标准分值为</w:t>
      </w:r>
      <w:r>
        <w:rPr>
          <w:rFonts w:hint="eastAsia"/>
          <w:highlight w:val="none"/>
          <w:lang w:val="en-US" w:eastAsia="zh-CN"/>
        </w:rPr>
        <w:t>6</w:t>
      </w:r>
      <w:r>
        <w:rPr>
          <w:rFonts w:hint="eastAsia"/>
          <w:highlight w:val="none"/>
        </w:rPr>
        <w:t>分，得分为</w:t>
      </w:r>
      <w:r>
        <w:rPr>
          <w:rFonts w:hint="eastAsia"/>
          <w:highlight w:val="none"/>
          <w:lang w:val="en-US" w:eastAsia="zh-CN"/>
        </w:rPr>
        <w:t>6</w:t>
      </w:r>
      <w:r>
        <w:rPr>
          <w:rFonts w:hint="eastAsia"/>
          <w:highlight w:val="none"/>
        </w:rPr>
        <w:t>分。专题片审核通过率</w:t>
      </w:r>
      <w:r>
        <w:rPr>
          <w:rFonts w:hint="eastAsia"/>
          <w:highlight w:val="none"/>
          <w:lang w:eastAsia="zh-CN"/>
        </w:rPr>
        <w:t>为</w:t>
      </w:r>
      <w:r>
        <w:rPr>
          <w:rFonts w:hint="eastAsia"/>
          <w:highlight w:val="none"/>
          <w:lang w:val="en-US" w:eastAsia="zh-CN"/>
        </w:rPr>
        <w:t>100%</w:t>
      </w:r>
      <w:r>
        <w:rPr>
          <w:rFonts w:hint="eastAsia"/>
          <w:highlight w:val="none"/>
        </w:rPr>
        <w:t>，该指标标准分值为</w:t>
      </w:r>
      <w:r>
        <w:rPr>
          <w:rFonts w:hint="eastAsia"/>
          <w:highlight w:val="none"/>
          <w:lang w:val="en-US" w:eastAsia="zh-CN"/>
        </w:rPr>
        <w:t>6</w:t>
      </w:r>
      <w:r>
        <w:rPr>
          <w:rFonts w:hint="eastAsia"/>
          <w:highlight w:val="none"/>
        </w:rPr>
        <w:t>分，得分为</w:t>
      </w:r>
      <w:r>
        <w:rPr>
          <w:rFonts w:hint="eastAsia"/>
          <w:highlight w:val="none"/>
          <w:lang w:val="en-US" w:eastAsia="zh-CN"/>
        </w:rPr>
        <w:t>6</w:t>
      </w:r>
      <w:r>
        <w:rPr>
          <w:rFonts w:hint="eastAsia"/>
          <w:highlight w:val="none"/>
        </w:rPr>
        <w:t>分。</w:t>
      </w:r>
    </w:p>
    <w:p>
      <w:pPr>
        <w:ind w:firstLine="640"/>
        <w:rPr>
          <w:highlight w:val="none"/>
        </w:rPr>
      </w:pPr>
      <w:r>
        <w:rPr>
          <w:rFonts w:hint="eastAsia"/>
          <w:highlight w:val="none"/>
        </w:rPr>
        <w:t>综上所述，根据评分标准，质量指标实际得</w:t>
      </w:r>
      <w:r>
        <w:rPr>
          <w:rFonts w:hint="eastAsia"/>
          <w:highlight w:val="none"/>
          <w:lang w:val="en-US" w:eastAsia="zh-CN"/>
        </w:rPr>
        <w:t>12</w:t>
      </w:r>
      <w:r>
        <w:rPr>
          <w:highlight w:val="none"/>
        </w:rPr>
        <w:t>分。</w:t>
      </w:r>
    </w:p>
    <w:p>
      <w:pPr>
        <w:ind w:firstLine="640"/>
        <w:rPr>
          <w:highlight w:val="none"/>
        </w:rPr>
      </w:pPr>
      <w:r>
        <w:rPr>
          <w:rFonts w:hint="eastAsia"/>
          <w:highlight w:val="none"/>
        </w:rPr>
        <w:t>（3）时效指标</w:t>
      </w:r>
    </w:p>
    <w:p>
      <w:pPr>
        <w:ind w:firstLine="640"/>
        <w:rPr>
          <w:rFonts w:hint="eastAsia" w:ascii="仿宋" w:hAnsi="仿宋" w:eastAsia="仿宋" w:cs="仿宋"/>
          <w:highlight w:val="none"/>
        </w:rPr>
      </w:pPr>
      <w:r>
        <w:rPr>
          <w:rFonts w:hint="eastAsia"/>
          <w:highlight w:val="none"/>
        </w:rPr>
        <w:t>“</w:t>
      </w:r>
      <w:r>
        <w:rPr>
          <w:rFonts w:hint="eastAsia" w:ascii="仿宋" w:hAnsi="仿宋" w:eastAsia="仿宋" w:cs="仿宋"/>
          <w:highlight w:val="none"/>
        </w:rPr>
        <w:t>时效指标”下设</w:t>
      </w:r>
      <w:r>
        <w:rPr>
          <w:rFonts w:hint="eastAsia"/>
          <w:highlight w:val="none"/>
          <w:lang w:eastAsia="zh-CN"/>
        </w:rPr>
        <w:t>二</w:t>
      </w:r>
      <w:r>
        <w:rPr>
          <w:rFonts w:hint="eastAsia" w:ascii="仿宋" w:hAnsi="仿宋" w:eastAsia="仿宋" w:cs="仿宋"/>
          <w:highlight w:val="none"/>
        </w:rPr>
        <w:t>个三级指标“新栏目上映及时率”</w:t>
      </w:r>
      <w:r>
        <w:rPr>
          <w:rFonts w:hint="eastAsia" w:cs="仿宋"/>
          <w:highlight w:val="none"/>
          <w:lang w:eastAsia="zh-CN"/>
        </w:rPr>
        <w:t>、“专题片上映及时率”</w:t>
      </w:r>
      <w:r>
        <w:rPr>
          <w:rFonts w:hint="eastAsia" w:ascii="仿宋" w:hAnsi="仿宋" w:eastAsia="仿宋" w:cs="仿宋"/>
          <w:highlight w:val="none"/>
        </w:rPr>
        <w:t>。</w:t>
      </w:r>
    </w:p>
    <w:p>
      <w:pPr>
        <w:ind w:firstLine="640"/>
        <w:rPr>
          <w:rFonts w:hint="eastAsia" w:ascii="仿宋" w:hAnsi="仿宋" w:eastAsia="仿宋" w:cs="仿宋"/>
          <w:highlight w:val="none"/>
        </w:rPr>
      </w:pPr>
      <w:r>
        <w:rPr>
          <w:rFonts w:hint="eastAsia" w:ascii="仿宋" w:hAnsi="仿宋" w:eastAsia="仿宋" w:cs="仿宋"/>
          <w:highlight w:val="none"/>
        </w:rPr>
        <w:t>根据指标要求，新栏目上映及时率为</w:t>
      </w:r>
      <w:r>
        <w:rPr>
          <w:rFonts w:hint="eastAsia" w:cs="仿宋"/>
          <w:highlight w:val="none"/>
          <w:lang w:val="en-US" w:eastAsia="zh-CN"/>
        </w:rPr>
        <w:t>100%</w:t>
      </w:r>
      <w:r>
        <w:rPr>
          <w:rFonts w:hint="eastAsia" w:ascii="仿宋" w:hAnsi="仿宋" w:eastAsia="仿宋" w:cs="仿宋"/>
          <w:highlight w:val="none"/>
        </w:rPr>
        <w:t>，</w:t>
      </w:r>
      <w:bookmarkStart w:id="49" w:name="_Hlk79160389"/>
      <w:r>
        <w:rPr>
          <w:rFonts w:hint="eastAsia" w:ascii="仿宋" w:hAnsi="仿宋" w:eastAsia="仿宋" w:cs="仿宋"/>
          <w:highlight w:val="none"/>
        </w:rPr>
        <w:t>符合要求，该指标标准分值为</w:t>
      </w:r>
      <w:r>
        <w:rPr>
          <w:rFonts w:hint="eastAsia" w:cs="仿宋"/>
          <w:highlight w:val="none"/>
          <w:lang w:val="en-US" w:eastAsia="zh-CN"/>
        </w:rPr>
        <w:t>6</w:t>
      </w:r>
      <w:r>
        <w:rPr>
          <w:rFonts w:hint="eastAsia" w:ascii="仿宋" w:hAnsi="仿宋" w:eastAsia="仿宋" w:cs="仿宋"/>
          <w:highlight w:val="none"/>
        </w:rPr>
        <w:t>分，得分为</w:t>
      </w:r>
      <w:r>
        <w:rPr>
          <w:rFonts w:hint="eastAsia" w:cs="仿宋"/>
          <w:highlight w:val="none"/>
          <w:lang w:val="en-US" w:eastAsia="zh-CN"/>
        </w:rPr>
        <w:t>6</w:t>
      </w:r>
      <w:r>
        <w:rPr>
          <w:rFonts w:hint="eastAsia" w:ascii="仿宋" w:hAnsi="仿宋" w:eastAsia="仿宋" w:cs="仿宋"/>
          <w:highlight w:val="none"/>
        </w:rPr>
        <w:t>分。</w:t>
      </w:r>
      <w:r>
        <w:rPr>
          <w:rFonts w:hint="eastAsia" w:cs="仿宋"/>
          <w:highlight w:val="none"/>
          <w:lang w:eastAsia="zh-CN"/>
        </w:rPr>
        <w:t>专题片上映</w:t>
      </w:r>
      <w:r>
        <w:rPr>
          <w:rFonts w:hint="eastAsia" w:ascii="仿宋" w:hAnsi="仿宋" w:eastAsia="仿宋" w:cs="仿宋"/>
          <w:highlight w:val="none"/>
          <w:lang w:eastAsia="zh-CN"/>
        </w:rPr>
        <w:t>完成</w:t>
      </w:r>
      <w:r>
        <w:rPr>
          <w:rFonts w:hint="eastAsia" w:ascii="仿宋" w:hAnsi="仿宋" w:eastAsia="仿宋" w:cs="仿宋"/>
          <w:highlight w:val="none"/>
        </w:rPr>
        <w:t>日期为及时率</w:t>
      </w:r>
      <w:r>
        <w:rPr>
          <w:rFonts w:hint="eastAsia" w:cs="仿宋"/>
          <w:highlight w:val="none"/>
          <w:lang w:val="en-US" w:eastAsia="zh-CN"/>
        </w:rPr>
        <w:t>100%</w:t>
      </w:r>
      <w:r>
        <w:rPr>
          <w:rFonts w:hint="eastAsia" w:ascii="仿宋" w:hAnsi="仿宋" w:eastAsia="仿宋" w:cs="仿宋"/>
          <w:highlight w:val="none"/>
        </w:rPr>
        <w:t>，符合要求，该指标标准分值为</w:t>
      </w:r>
      <w:r>
        <w:rPr>
          <w:rFonts w:hint="eastAsia" w:cs="仿宋"/>
          <w:highlight w:val="none"/>
          <w:lang w:val="en-US" w:eastAsia="zh-CN"/>
        </w:rPr>
        <w:t>6</w:t>
      </w:r>
      <w:r>
        <w:rPr>
          <w:rFonts w:hint="eastAsia" w:ascii="仿宋" w:hAnsi="仿宋" w:eastAsia="仿宋" w:cs="仿宋"/>
          <w:highlight w:val="none"/>
        </w:rPr>
        <w:t>分，得分为</w:t>
      </w:r>
      <w:r>
        <w:rPr>
          <w:rFonts w:hint="eastAsia" w:cs="仿宋"/>
          <w:highlight w:val="none"/>
          <w:lang w:val="en-US" w:eastAsia="zh-CN"/>
        </w:rPr>
        <w:t>6</w:t>
      </w:r>
      <w:r>
        <w:rPr>
          <w:rFonts w:hint="eastAsia" w:ascii="仿宋" w:hAnsi="仿宋" w:eastAsia="仿宋" w:cs="仿宋"/>
          <w:highlight w:val="none"/>
        </w:rPr>
        <w:t>分。</w:t>
      </w:r>
    </w:p>
    <w:p>
      <w:pPr>
        <w:ind w:firstLine="640"/>
        <w:rPr>
          <w:rFonts w:hint="eastAsia" w:ascii="仿宋" w:hAnsi="仿宋" w:eastAsia="仿宋" w:cs="仿宋"/>
          <w:highlight w:val="none"/>
        </w:rPr>
      </w:pPr>
      <w:r>
        <w:rPr>
          <w:rFonts w:hint="eastAsia"/>
          <w:highlight w:val="none"/>
        </w:rPr>
        <w:t>综上所述，根据评分标准，时效指标实际得</w:t>
      </w:r>
      <w:r>
        <w:rPr>
          <w:rFonts w:hint="eastAsia"/>
          <w:highlight w:val="none"/>
          <w:lang w:val="en-US" w:eastAsia="zh-CN"/>
        </w:rPr>
        <w:t>12</w:t>
      </w:r>
      <w:r>
        <w:rPr>
          <w:highlight w:val="none"/>
        </w:rPr>
        <w:t>分。</w:t>
      </w:r>
    </w:p>
    <w:bookmarkEnd w:id="49"/>
    <w:p>
      <w:pPr>
        <w:ind w:firstLine="640"/>
        <w:rPr>
          <w:rFonts w:hint="eastAsia" w:ascii="仿宋" w:hAnsi="仿宋" w:eastAsia="仿宋" w:cs="仿宋"/>
          <w:highlight w:val="none"/>
        </w:rPr>
      </w:pPr>
      <w:r>
        <w:rPr>
          <w:rFonts w:hint="eastAsia" w:ascii="仿宋" w:hAnsi="仿宋" w:eastAsia="仿宋" w:cs="仿宋"/>
          <w:highlight w:val="none"/>
        </w:rPr>
        <w:t>（4）成本指标</w:t>
      </w:r>
    </w:p>
    <w:p>
      <w:pPr>
        <w:ind w:left="0" w:leftChars="0" w:firstLine="640" w:firstLineChars="200"/>
        <w:rPr>
          <w:rFonts w:hint="eastAsia" w:ascii="仿宋" w:hAnsi="仿宋" w:eastAsia="仿宋" w:cs="仿宋"/>
          <w:highlight w:val="none"/>
        </w:rPr>
      </w:pPr>
      <w:r>
        <w:rPr>
          <w:rFonts w:hint="eastAsia" w:ascii="仿宋" w:hAnsi="仿宋" w:eastAsia="仿宋" w:cs="仿宋"/>
          <w:highlight w:val="none"/>
        </w:rPr>
        <w:t>202</w:t>
      </w:r>
      <w:r>
        <w:rPr>
          <w:rFonts w:hint="eastAsia" w:ascii="仿宋" w:hAnsi="仿宋" w:eastAsia="仿宋" w:cs="仿宋"/>
          <w:highlight w:val="none"/>
          <w:lang w:val="en-US" w:eastAsia="zh-CN"/>
        </w:rPr>
        <w:t>1</w:t>
      </w:r>
      <w:r>
        <w:rPr>
          <w:rFonts w:hint="eastAsia" w:ascii="仿宋" w:hAnsi="仿宋" w:eastAsia="仿宋" w:cs="仿宋"/>
          <w:highlight w:val="none"/>
        </w:rPr>
        <w:t>年项目财政资金</w:t>
      </w:r>
      <w:r>
        <w:rPr>
          <w:rFonts w:hint="eastAsia" w:ascii="仿宋" w:hAnsi="仿宋" w:eastAsia="仿宋" w:cs="仿宋"/>
          <w:highlight w:val="none"/>
          <w:lang w:val="en-US" w:eastAsia="zh-CN"/>
        </w:rPr>
        <w:t>50</w:t>
      </w:r>
      <w:r>
        <w:rPr>
          <w:rFonts w:hint="eastAsia" w:ascii="仿宋" w:hAnsi="仿宋" w:eastAsia="仿宋" w:cs="仿宋"/>
          <w:highlight w:val="none"/>
        </w:rPr>
        <w:t>万元，实际支出</w:t>
      </w:r>
      <w:r>
        <w:rPr>
          <w:rFonts w:hint="eastAsia" w:ascii="仿宋" w:hAnsi="仿宋" w:eastAsia="仿宋" w:cs="仿宋"/>
          <w:highlight w:val="none"/>
          <w:lang w:val="en-US" w:eastAsia="zh-CN"/>
        </w:rPr>
        <w:t>50</w:t>
      </w:r>
      <w:r>
        <w:rPr>
          <w:rFonts w:hint="eastAsia" w:ascii="仿宋" w:hAnsi="仿宋" w:eastAsia="仿宋" w:cs="仿宋"/>
          <w:highlight w:val="none"/>
        </w:rPr>
        <w:t>万元，未超出预算批复金额。</w:t>
      </w:r>
      <w:r>
        <w:rPr>
          <w:rFonts w:hint="eastAsia"/>
          <w:highlight w:val="none"/>
        </w:rPr>
        <w:t>因此该项指标标准分值</w:t>
      </w:r>
      <w:r>
        <w:rPr>
          <w:highlight w:val="none"/>
        </w:rPr>
        <w:t>1</w:t>
      </w:r>
      <w:r>
        <w:rPr>
          <w:rFonts w:hint="eastAsia"/>
          <w:highlight w:val="none"/>
          <w:lang w:val="en-US" w:eastAsia="zh-CN"/>
        </w:rPr>
        <w:t>4</w:t>
      </w:r>
      <w:r>
        <w:rPr>
          <w:rFonts w:hint="eastAsia"/>
          <w:highlight w:val="none"/>
        </w:rPr>
        <w:t>分，得</w:t>
      </w:r>
      <w:r>
        <w:rPr>
          <w:highlight w:val="none"/>
        </w:rPr>
        <w:t>1</w:t>
      </w:r>
      <w:r>
        <w:rPr>
          <w:rFonts w:hint="eastAsia"/>
          <w:highlight w:val="none"/>
          <w:lang w:val="en-US" w:eastAsia="zh-CN"/>
        </w:rPr>
        <w:t>4</w:t>
      </w:r>
      <w:r>
        <w:rPr>
          <w:rFonts w:hint="eastAsia"/>
          <w:highlight w:val="none"/>
        </w:rPr>
        <w:t>分。</w:t>
      </w:r>
    </w:p>
    <w:p>
      <w:pPr>
        <w:pStyle w:val="4"/>
        <w:ind w:firstLine="643"/>
        <w:rPr>
          <w:rFonts w:hint="eastAsia" w:ascii="仿宋" w:hAnsi="仿宋" w:eastAsia="仿宋" w:cs="仿宋"/>
          <w:highlight w:val="none"/>
        </w:rPr>
      </w:pPr>
      <w:bookmarkStart w:id="50" w:name="_Toc79333448"/>
      <w:r>
        <w:rPr>
          <w:rFonts w:hint="eastAsia" w:ascii="仿宋" w:hAnsi="仿宋" w:eastAsia="仿宋" w:cs="仿宋"/>
          <w:highlight w:val="none"/>
        </w:rPr>
        <w:t>3、效益指标分析</w:t>
      </w:r>
      <w:bookmarkEnd w:id="50"/>
    </w:p>
    <w:p>
      <w:pPr>
        <w:ind w:firstLine="640"/>
        <w:rPr>
          <w:highlight w:val="none"/>
        </w:rPr>
      </w:pPr>
      <w:r>
        <w:rPr>
          <w:rFonts w:hint="eastAsia"/>
          <w:highlight w:val="none"/>
        </w:rPr>
        <w:t>“效益指标”下设二个二级指标，分别为“社会效益”、“可持续影响”。</w:t>
      </w:r>
    </w:p>
    <w:p>
      <w:pPr>
        <w:ind w:firstLine="640"/>
        <w:rPr>
          <w:highlight w:val="none"/>
        </w:rPr>
      </w:pPr>
      <w:r>
        <w:rPr>
          <w:rFonts w:hint="eastAsia"/>
          <w:highlight w:val="none"/>
        </w:rPr>
        <w:t>（</w:t>
      </w:r>
      <w:r>
        <w:rPr>
          <w:highlight w:val="none"/>
        </w:rPr>
        <w:t>1</w:t>
      </w:r>
      <w:r>
        <w:rPr>
          <w:rFonts w:hint="eastAsia"/>
          <w:highlight w:val="none"/>
        </w:rPr>
        <w:t>）社会效益</w:t>
      </w:r>
    </w:p>
    <w:p>
      <w:pPr>
        <w:ind w:firstLine="640"/>
        <w:rPr>
          <w:rFonts w:hint="eastAsia"/>
          <w:highlight w:val="none"/>
        </w:rPr>
      </w:pPr>
      <w:r>
        <w:rPr>
          <w:rFonts w:hint="eastAsia"/>
          <w:highlight w:val="none"/>
        </w:rPr>
        <w:t>“社会效益”下设</w:t>
      </w:r>
      <w:r>
        <w:rPr>
          <w:rFonts w:hint="eastAsia"/>
          <w:highlight w:val="none"/>
          <w:lang w:eastAsia="zh-CN"/>
        </w:rPr>
        <w:t>三个</w:t>
      </w:r>
      <w:r>
        <w:rPr>
          <w:rFonts w:hint="eastAsia"/>
          <w:highlight w:val="none"/>
        </w:rPr>
        <w:t>三级指标“促进县委县政府中心工作”</w:t>
      </w:r>
      <w:r>
        <w:rPr>
          <w:rFonts w:hint="eastAsia"/>
          <w:highlight w:val="none"/>
          <w:lang w:eastAsia="zh-CN"/>
        </w:rPr>
        <w:t>、“加强新闻舆论的报道力度”“加强太康名片的影响力”</w:t>
      </w:r>
      <w:r>
        <w:rPr>
          <w:rFonts w:hint="eastAsia"/>
          <w:highlight w:val="none"/>
        </w:rPr>
        <w:t>。</w:t>
      </w:r>
    </w:p>
    <w:p>
      <w:pPr>
        <w:pStyle w:val="24"/>
        <w:ind w:firstLine="642"/>
        <w:jc w:val="left"/>
        <w:rPr>
          <w:rFonts w:hint="eastAsia" w:eastAsia="仿宋" w:cs="仿宋"/>
          <w:b w:val="0"/>
          <w:bCs w:val="0"/>
          <w:sz w:val="32"/>
          <w:szCs w:val="32"/>
          <w:highlight w:val="none"/>
          <w:lang w:eastAsia="zh-CN"/>
        </w:rPr>
      </w:pPr>
      <w:r>
        <w:rPr>
          <w:rFonts w:hint="eastAsia" w:ascii="仿宋" w:hAnsi="仿宋" w:eastAsia="仿宋" w:cs="仿宋"/>
          <w:b w:val="0"/>
          <w:bCs w:val="0"/>
          <w:i w:val="0"/>
          <w:iCs w:val="0"/>
          <w:caps w:val="0"/>
          <w:color w:val="3D3D3D"/>
          <w:spacing w:val="0"/>
          <w:sz w:val="32"/>
          <w:szCs w:val="32"/>
          <w:highlight w:val="none"/>
          <w:shd w:val="clear" w:color="auto" w:fill="FFFFFF"/>
          <w:lang w:val="en-US" w:eastAsia="zh-CN"/>
        </w:rPr>
        <w:t>工作经费项目</w:t>
      </w:r>
      <w:r>
        <w:rPr>
          <w:rFonts w:hint="eastAsia" w:ascii="仿宋" w:hAnsi="仿宋" w:eastAsia="仿宋" w:cs="仿宋"/>
          <w:b w:val="0"/>
          <w:bCs w:val="0"/>
          <w:sz w:val="32"/>
          <w:szCs w:val="32"/>
          <w:highlight w:val="none"/>
          <w:lang w:eastAsia="zh-CN"/>
        </w:rPr>
        <w:t>已经</w:t>
      </w:r>
      <w:r>
        <w:rPr>
          <w:rFonts w:hint="eastAsia" w:ascii="仿宋" w:hAnsi="仿宋" w:eastAsia="仿宋" w:cs="仿宋"/>
          <w:b w:val="0"/>
          <w:bCs w:val="0"/>
          <w:sz w:val="32"/>
          <w:szCs w:val="32"/>
          <w:highlight w:val="none"/>
        </w:rPr>
        <w:t>完</w:t>
      </w:r>
      <w:r>
        <w:rPr>
          <w:rFonts w:hint="eastAsia" w:ascii="仿宋" w:hAnsi="仿宋" w:eastAsia="仿宋" w:cs="仿宋"/>
          <w:b w:val="0"/>
          <w:bCs w:val="0"/>
          <w:sz w:val="32"/>
          <w:szCs w:val="32"/>
          <w:highlight w:val="none"/>
          <w:lang w:eastAsia="zh-CN"/>
        </w:rPr>
        <w:t>成</w:t>
      </w:r>
      <w:r>
        <w:rPr>
          <w:rFonts w:hint="eastAsia" w:ascii="仿宋" w:hAnsi="仿宋" w:eastAsia="仿宋" w:cs="仿宋"/>
          <w:b w:val="0"/>
          <w:bCs w:val="0"/>
          <w:sz w:val="32"/>
          <w:szCs w:val="32"/>
          <w:highlight w:val="none"/>
        </w:rPr>
        <w:t>，</w:t>
      </w:r>
      <w:r>
        <w:rPr>
          <w:rFonts w:hint="eastAsia" w:ascii="仿宋" w:hAnsi="仿宋" w:eastAsia="仿宋" w:cs="仿宋"/>
          <w:b w:val="0"/>
          <w:bCs w:val="0"/>
          <w:sz w:val="32"/>
          <w:szCs w:val="32"/>
          <w:highlight w:val="none"/>
          <w:lang w:eastAsia="zh-CN"/>
        </w:rPr>
        <w:t>已经</w:t>
      </w:r>
      <w:r>
        <w:rPr>
          <w:rFonts w:hint="eastAsia" w:ascii="仿宋" w:hAnsi="仿宋" w:eastAsia="仿宋" w:cs="仿宋"/>
          <w:b w:val="0"/>
          <w:bCs w:val="0"/>
          <w:sz w:val="32"/>
          <w:szCs w:val="32"/>
          <w:highlight w:val="none"/>
        </w:rPr>
        <w:t>产生社会效益，</w:t>
      </w:r>
      <w:r>
        <w:rPr>
          <w:rFonts w:hint="eastAsia" w:ascii="仿宋" w:hAnsi="仿宋" w:eastAsia="仿宋" w:cs="仿宋"/>
          <w:b w:val="0"/>
          <w:bCs w:val="0"/>
          <w:sz w:val="32"/>
          <w:szCs w:val="32"/>
          <w:highlight w:val="none"/>
          <w:lang w:eastAsia="zh-CN"/>
        </w:rPr>
        <w:t>达到促进县委县政府中心工作的</w:t>
      </w:r>
      <w:r>
        <w:rPr>
          <w:rFonts w:hint="eastAsia" w:eastAsia="仿宋" w:cs="仿宋"/>
          <w:b w:val="0"/>
          <w:bCs w:val="0"/>
          <w:sz w:val="32"/>
          <w:szCs w:val="32"/>
          <w:highlight w:val="none"/>
          <w:lang w:eastAsia="zh-CN"/>
        </w:rPr>
        <w:t>预期指标值</w:t>
      </w:r>
      <w:r>
        <w:rPr>
          <w:rFonts w:hint="eastAsia" w:ascii="仿宋" w:hAnsi="仿宋" w:eastAsia="仿宋" w:cs="仿宋"/>
          <w:b w:val="0"/>
          <w:bCs w:val="0"/>
          <w:sz w:val="32"/>
          <w:szCs w:val="32"/>
          <w:highlight w:val="none"/>
          <w:lang w:eastAsia="zh-CN"/>
        </w:rPr>
        <w:t>，</w:t>
      </w:r>
      <w:r>
        <w:rPr>
          <w:rFonts w:hint="eastAsia" w:ascii="仿宋" w:hAnsi="仿宋" w:eastAsia="仿宋" w:cs="仿宋"/>
          <w:b w:val="0"/>
          <w:bCs w:val="0"/>
          <w:sz w:val="32"/>
          <w:szCs w:val="32"/>
          <w:highlight w:val="none"/>
        </w:rPr>
        <w:t>该指标标准分值为</w:t>
      </w:r>
      <w:r>
        <w:rPr>
          <w:rFonts w:hint="eastAsia" w:eastAsia="仿宋" w:cs="仿宋"/>
          <w:b w:val="0"/>
          <w:bCs w:val="0"/>
          <w:sz w:val="32"/>
          <w:szCs w:val="32"/>
          <w:highlight w:val="none"/>
          <w:lang w:val="en-US" w:eastAsia="zh-CN"/>
        </w:rPr>
        <w:t>5</w:t>
      </w:r>
      <w:r>
        <w:rPr>
          <w:rFonts w:hint="eastAsia" w:ascii="仿宋" w:hAnsi="仿宋" w:eastAsia="仿宋" w:cs="仿宋"/>
          <w:b w:val="0"/>
          <w:bCs w:val="0"/>
          <w:sz w:val="32"/>
          <w:szCs w:val="32"/>
          <w:highlight w:val="none"/>
        </w:rPr>
        <w:t>分，得分为</w:t>
      </w:r>
      <w:r>
        <w:rPr>
          <w:rFonts w:hint="eastAsia" w:eastAsia="仿宋" w:cs="仿宋"/>
          <w:b w:val="0"/>
          <w:bCs w:val="0"/>
          <w:sz w:val="32"/>
          <w:szCs w:val="32"/>
          <w:highlight w:val="none"/>
          <w:lang w:val="en-US" w:eastAsia="zh-CN"/>
        </w:rPr>
        <w:t>5</w:t>
      </w:r>
      <w:r>
        <w:rPr>
          <w:rFonts w:hint="eastAsia" w:ascii="仿宋" w:hAnsi="仿宋" w:eastAsia="仿宋" w:cs="仿宋"/>
          <w:b w:val="0"/>
          <w:bCs w:val="0"/>
          <w:sz w:val="32"/>
          <w:szCs w:val="32"/>
          <w:highlight w:val="none"/>
        </w:rPr>
        <w:t>分</w:t>
      </w:r>
      <w:r>
        <w:rPr>
          <w:rFonts w:hint="eastAsia" w:eastAsia="仿宋" w:cs="仿宋"/>
          <w:b w:val="0"/>
          <w:bCs w:val="0"/>
          <w:sz w:val="32"/>
          <w:szCs w:val="32"/>
          <w:highlight w:val="none"/>
          <w:lang w:eastAsia="zh-CN"/>
        </w:rPr>
        <w:t>。</w:t>
      </w:r>
      <w:r>
        <w:rPr>
          <w:rFonts w:hint="eastAsia" w:ascii="仿宋" w:hAnsi="仿宋" w:eastAsia="仿宋" w:cs="仿宋"/>
          <w:b w:val="0"/>
          <w:bCs w:val="0"/>
          <w:sz w:val="32"/>
          <w:szCs w:val="32"/>
          <w:highlight w:val="none"/>
          <w:lang w:eastAsia="zh-CN"/>
        </w:rPr>
        <w:t>达到</w:t>
      </w:r>
      <w:r>
        <w:rPr>
          <w:rFonts w:hint="eastAsia" w:ascii="仿宋" w:hAnsi="仿宋" w:eastAsia="仿宋" w:cs="仿宋"/>
          <w:b w:val="0"/>
          <w:bCs w:val="0"/>
          <w:sz w:val="32"/>
          <w:szCs w:val="32"/>
          <w:highlight w:val="none"/>
        </w:rPr>
        <w:t>加强新闻舆论的报道力度</w:t>
      </w:r>
      <w:r>
        <w:rPr>
          <w:rFonts w:hint="eastAsia" w:ascii="仿宋" w:hAnsi="仿宋" w:eastAsia="仿宋" w:cs="仿宋"/>
          <w:b w:val="0"/>
          <w:bCs w:val="0"/>
          <w:sz w:val="32"/>
          <w:szCs w:val="32"/>
          <w:highlight w:val="none"/>
          <w:lang w:eastAsia="zh-CN"/>
        </w:rPr>
        <w:t>的</w:t>
      </w:r>
      <w:r>
        <w:rPr>
          <w:rFonts w:hint="eastAsia" w:eastAsia="仿宋" w:cs="仿宋"/>
          <w:b w:val="0"/>
          <w:bCs w:val="0"/>
          <w:sz w:val="32"/>
          <w:szCs w:val="32"/>
          <w:highlight w:val="none"/>
          <w:lang w:eastAsia="zh-CN"/>
        </w:rPr>
        <w:t>预期指标值</w:t>
      </w:r>
      <w:r>
        <w:rPr>
          <w:rFonts w:hint="eastAsia" w:ascii="仿宋" w:hAnsi="仿宋" w:eastAsia="仿宋" w:cs="仿宋"/>
          <w:b w:val="0"/>
          <w:bCs w:val="0"/>
          <w:sz w:val="32"/>
          <w:szCs w:val="32"/>
          <w:highlight w:val="none"/>
          <w:lang w:eastAsia="zh-CN"/>
        </w:rPr>
        <w:t>，</w:t>
      </w:r>
      <w:r>
        <w:rPr>
          <w:rFonts w:hint="eastAsia" w:ascii="仿宋" w:hAnsi="仿宋" w:eastAsia="仿宋" w:cs="仿宋"/>
          <w:b w:val="0"/>
          <w:bCs w:val="0"/>
          <w:sz w:val="32"/>
          <w:szCs w:val="32"/>
          <w:highlight w:val="none"/>
        </w:rPr>
        <w:t>该指标标准分值为</w:t>
      </w:r>
      <w:r>
        <w:rPr>
          <w:rFonts w:hint="eastAsia" w:eastAsia="仿宋" w:cs="仿宋"/>
          <w:b w:val="0"/>
          <w:bCs w:val="0"/>
          <w:sz w:val="32"/>
          <w:szCs w:val="32"/>
          <w:highlight w:val="none"/>
          <w:lang w:val="en-US" w:eastAsia="zh-CN"/>
        </w:rPr>
        <w:t>5</w:t>
      </w:r>
      <w:r>
        <w:rPr>
          <w:rFonts w:hint="eastAsia" w:ascii="仿宋" w:hAnsi="仿宋" w:eastAsia="仿宋" w:cs="仿宋"/>
          <w:b w:val="0"/>
          <w:bCs w:val="0"/>
          <w:sz w:val="32"/>
          <w:szCs w:val="32"/>
          <w:highlight w:val="none"/>
        </w:rPr>
        <w:t>分，得分为</w:t>
      </w:r>
      <w:r>
        <w:rPr>
          <w:rFonts w:hint="eastAsia" w:eastAsia="仿宋" w:cs="仿宋"/>
          <w:b w:val="0"/>
          <w:bCs w:val="0"/>
          <w:sz w:val="32"/>
          <w:szCs w:val="32"/>
          <w:highlight w:val="none"/>
          <w:lang w:val="en-US" w:eastAsia="zh-CN"/>
        </w:rPr>
        <w:t>5</w:t>
      </w:r>
      <w:r>
        <w:rPr>
          <w:rFonts w:hint="eastAsia" w:ascii="仿宋" w:hAnsi="仿宋" w:eastAsia="仿宋" w:cs="仿宋"/>
          <w:b w:val="0"/>
          <w:bCs w:val="0"/>
          <w:sz w:val="32"/>
          <w:szCs w:val="32"/>
          <w:highlight w:val="none"/>
        </w:rPr>
        <w:t>分。</w:t>
      </w:r>
      <w:r>
        <w:rPr>
          <w:rFonts w:hint="eastAsia" w:ascii="仿宋" w:hAnsi="仿宋" w:eastAsia="仿宋" w:cs="仿宋"/>
          <w:b w:val="0"/>
          <w:bCs w:val="0"/>
          <w:sz w:val="32"/>
          <w:szCs w:val="32"/>
          <w:highlight w:val="none"/>
          <w:lang w:eastAsia="zh-CN"/>
        </w:rPr>
        <w:t>达到加强太康名片的影响力的</w:t>
      </w:r>
      <w:r>
        <w:rPr>
          <w:rFonts w:hint="eastAsia" w:eastAsia="仿宋" w:cs="仿宋"/>
          <w:b w:val="0"/>
          <w:bCs w:val="0"/>
          <w:sz w:val="32"/>
          <w:szCs w:val="32"/>
          <w:highlight w:val="none"/>
          <w:lang w:eastAsia="zh-CN"/>
        </w:rPr>
        <w:t>预期指标值</w:t>
      </w:r>
      <w:r>
        <w:rPr>
          <w:rFonts w:hint="eastAsia" w:ascii="仿宋" w:hAnsi="仿宋" w:eastAsia="仿宋" w:cs="仿宋"/>
          <w:b w:val="0"/>
          <w:bCs w:val="0"/>
          <w:sz w:val="32"/>
          <w:szCs w:val="32"/>
          <w:highlight w:val="none"/>
          <w:lang w:eastAsia="zh-CN"/>
        </w:rPr>
        <w:t>，</w:t>
      </w:r>
      <w:r>
        <w:rPr>
          <w:rFonts w:hint="eastAsia" w:ascii="仿宋" w:hAnsi="仿宋" w:eastAsia="仿宋" w:cs="仿宋"/>
          <w:b w:val="0"/>
          <w:bCs w:val="0"/>
          <w:sz w:val="32"/>
          <w:szCs w:val="32"/>
          <w:highlight w:val="none"/>
        </w:rPr>
        <w:t>该指标标准分值为</w:t>
      </w:r>
      <w:r>
        <w:rPr>
          <w:rFonts w:hint="eastAsia" w:eastAsia="仿宋" w:cs="仿宋"/>
          <w:b w:val="0"/>
          <w:bCs w:val="0"/>
          <w:sz w:val="32"/>
          <w:szCs w:val="32"/>
          <w:highlight w:val="none"/>
          <w:lang w:val="en-US" w:eastAsia="zh-CN"/>
        </w:rPr>
        <w:t>5</w:t>
      </w:r>
      <w:r>
        <w:rPr>
          <w:rFonts w:hint="eastAsia" w:ascii="仿宋" w:hAnsi="仿宋" w:eastAsia="仿宋" w:cs="仿宋"/>
          <w:b w:val="0"/>
          <w:bCs w:val="0"/>
          <w:sz w:val="32"/>
          <w:szCs w:val="32"/>
          <w:highlight w:val="none"/>
        </w:rPr>
        <w:t>分，得分为</w:t>
      </w:r>
      <w:r>
        <w:rPr>
          <w:rFonts w:hint="eastAsia" w:eastAsia="仿宋" w:cs="仿宋"/>
          <w:b w:val="0"/>
          <w:bCs w:val="0"/>
          <w:sz w:val="32"/>
          <w:szCs w:val="32"/>
          <w:highlight w:val="none"/>
          <w:lang w:val="en-US" w:eastAsia="zh-CN"/>
        </w:rPr>
        <w:t>5</w:t>
      </w:r>
      <w:r>
        <w:rPr>
          <w:rFonts w:hint="eastAsia" w:ascii="仿宋" w:hAnsi="仿宋" w:eastAsia="仿宋" w:cs="仿宋"/>
          <w:b w:val="0"/>
          <w:bCs w:val="0"/>
          <w:sz w:val="32"/>
          <w:szCs w:val="32"/>
          <w:highlight w:val="none"/>
        </w:rPr>
        <w:t>分</w:t>
      </w:r>
      <w:r>
        <w:rPr>
          <w:rFonts w:hint="eastAsia" w:eastAsia="仿宋" w:cs="仿宋"/>
          <w:b w:val="0"/>
          <w:bCs w:val="0"/>
          <w:sz w:val="32"/>
          <w:szCs w:val="32"/>
          <w:highlight w:val="none"/>
          <w:lang w:eastAsia="zh-CN"/>
        </w:rPr>
        <w:t>。</w:t>
      </w:r>
    </w:p>
    <w:p>
      <w:pPr>
        <w:pStyle w:val="24"/>
        <w:ind w:firstLine="642"/>
        <w:jc w:val="left"/>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rPr>
        <w:t>综上所述，根据评分标准，社会效益指标实际得</w:t>
      </w:r>
      <w:r>
        <w:rPr>
          <w:rFonts w:hint="eastAsia" w:ascii="仿宋" w:hAnsi="仿宋" w:eastAsia="仿宋" w:cs="仿宋"/>
          <w:b w:val="0"/>
          <w:bCs w:val="0"/>
          <w:sz w:val="32"/>
          <w:szCs w:val="32"/>
          <w:highlight w:val="none"/>
          <w:lang w:val="en-US" w:eastAsia="zh-CN"/>
        </w:rPr>
        <w:t>15</w:t>
      </w:r>
      <w:r>
        <w:rPr>
          <w:rFonts w:hint="eastAsia" w:ascii="仿宋" w:hAnsi="仿宋" w:eastAsia="仿宋" w:cs="仿宋"/>
          <w:b w:val="0"/>
          <w:bCs w:val="0"/>
          <w:sz w:val="32"/>
          <w:szCs w:val="32"/>
          <w:highlight w:val="none"/>
        </w:rPr>
        <w:t>分。</w:t>
      </w:r>
    </w:p>
    <w:p>
      <w:pPr>
        <w:ind w:firstLine="640"/>
        <w:rPr>
          <w:highlight w:val="none"/>
        </w:rPr>
      </w:pPr>
      <w:r>
        <w:rPr>
          <w:rFonts w:hint="eastAsia"/>
          <w:highlight w:val="none"/>
        </w:rPr>
        <w:t>（</w:t>
      </w:r>
      <w:r>
        <w:rPr>
          <w:highlight w:val="none"/>
        </w:rPr>
        <w:t>2</w:t>
      </w:r>
      <w:r>
        <w:rPr>
          <w:rFonts w:hint="eastAsia"/>
          <w:highlight w:val="none"/>
        </w:rPr>
        <w:t>）可持续影响</w:t>
      </w:r>
    </w:p>
    <w:p>
      <w:pPr>
        <w:ind w:left="0" w:leftChars="0" w:firstLine="640" w:firstLineChars="200"/>
        <w:rPr>
          <w:highlight w:val="none"/>
        </w:rPr>
      </w:pPr>
      <w:r>
        <w:rPr>
          <w:rFonts w:hint="eastAsia"/>
          <w:highlight w:val="none"/>
        </w:rPr>
        <w:t>“可持续影响”下设三级指标“持续助力树立良好的社会风气”。</w:t>
      </w:r>
    </w:p>
    <w:p>
      <w:pPr>
        <w:ind w:firstLine="640"/>
        <w:rPr>
          <w:highlight w:val="none"/>
        </w:rPr>
      </w:pPr>
      <w:r>
        <w:rPr>
          <w:rFonts w:hint="eastAsia"/>
          <w:highlight w:val="none"/>
          <w:lang w:eastAsia="zh-CN"/>
        </w:rPr>
        <w:t>工作经费项目已完成</w:t>
      </w:r>
      <w:r>
        <w:rPr>
          <w:rFonts w:hint="eastAsia"/>
          <w:highlight w:val="none"/>
        </w:rPr>
        <w:t>，具有可持续影响效益，该指标标准分值为</w:t>
      </w:r>
      <w:r>
        <w:rPr>
          <w:rFonts w:hint="eastAsia"/>
          <w:highlight w:val="none"/>
          <w:lang w:val="en-US" w:eastAsia="zh-CN"/>
        </w:rPr>
        <w:t>15</w:t>
      </w:r>
      <w:r>
        <w:rPr>
          <w:rFonts w:hint="eastAsia"/>
          <w:highlight w:val="none"/>
        </w:rPr>
        <w:t>分，实际综合得分为</w:t>
      </w:r>
      <w:r>
        <w:rPr>
          <w:rFonts w:hint="eastAsia"/>
          <w:highlight w:val="none"/>
          <w:lang w:val="en-US" w:eastAsia="zh-CN"/>
        </w:rPr>
        <w:t>15</w:t>
      </w:r>
      <w:r>
        <w:rPr>
          <w:rFonts w:hint="eastAsia"/>
          <w:highlight w:val="none"/>
        </w:rPr>
        <w:t>分。</w:t>
      </w:r>
    </w:p>
    <w:p>
      <w:pPr>
        <w:pStyle w:val="4"/>
        <w:ind w:firstLine="643"/>
        <w:rPr>
          <w:highlight w:val="none"/>
        </w:rPr>
      </w:pPr>
      <w:bookmarkStart w:id="51" w:name="_Toc79333449"/>
      <w:r>
        <w:rPr>
          <w:highlight w:val="none"/>
        </w:rPr>
        <w:t>4、满意度指标分析</w:t>
      </w:r>
      <w:bookmarkEnd w:id="51"/>
    </w:p>
    <w:p>
      <w:pPr>
        <w:pStyle w:val="2"/>
        <w:ind w:firstLine="640" w:firstLineChars="200"/>
        <w:rPr>
          <w:rFonts w:hint="eastAsia" w:ascii="仿宋" w:hAnsi="仿宋" w:eastAsia="仿宋" w:cs="仿宋"/>
          <w:b w:val="0"/>
          <w:bCs w:val="0"/>
          <w:sz w:val="32"/>
          <w:szCs w:val="32"/>
          <w:highlight w:val="none"/>
        </w:rPr>
      </w:pPr>
      <w:bookmarkStart w:id="52" w:name="_Toc15568"/>
      <w:bookmarkStart w:id="53" w:name="_Toc79333450"/>
      <w:bookmarkStart w:id="54" w:name="_Toc29830"/>
      <w:r>
        <w:rPr>
          <w:rFonts w:hint="eastAsia" w:ascii="仿宋" w:hAnsi="仿宋" w:eastAsia="仿宋" w:cs="仿宋"/>
          <w:b w:val="0"/>
          <w:bCs w:val="0"/>
          <w:sz w:val="32"/>
          <w:szCs w:val="32"/>
          <w:highlight w:val="none"/>
        </w:rPr>
        <w:t>本项目调查</w:t>
      </w:r>
      <w:r>
        <w:rPr>
          <w:rFonts w:hint="eastAsia" w:ascii="仿宋" w:hAnsi="仿宋" w:eastAsia="仿宋" w:cs="仿宋"/>
          <w:b w:val="0"/>
          <w:bCs w:val="0"/>
          <w:sz w:val="32"/>
          <w:szCs w:val="32"/>
          <w:highlight w:val="none"/>
          <w:lang w:eastAsia="zh-CN"/>
        </w:rPr>
        <w:t>全县</w:t>
      </w:r>
      <w:r>
        <w:rPr>
          <w:rFonts w:hint="eastAsia" w:ascii="仿宋" w:hAnsi="仿宋" w:eastAsia="仿宋" w:cs="仿宋"/>
          <w:b w:val="0"/>
          <w:bCs w:val="0"/>
          <w:sz w:val="32"/>
          <w:szCs w:val="32"/>
          <w:highlight w:val="none"/>
        </w:rPr>
        <w:t>受益人群</w:t>
      </w:r>
      <w:r>
        <w:rPr>
          <w:rFonts w:hint="eastAsia" w:ascii="仿宋" w:hAnsi="仿宋" w:eastAsia="仿宋" w:cs="仿宋"/>
          <w:b w:val="0"/>
          <w:bCs w:val="0"/>
          <w:sz w:val="32"/>
          <w:szCs w:val="32"/>
          <w:highlight w:val="none"/>
          <w:lang w:val="en-US" w:eastAsia="zh-CN"/>
        </w:rPr>
        <w:t>1146</w:t>
      </w:r>
      <w:r>
        <w:rPr>
          <w:rFonts w:hint="eastAsia" w:ascii="仿宋" w:hAnsi="仿宋" w:eastAsia="仿宋" w:cs="仿宋"/>
          <w:b w:val="0"/>
          <w:bCs w:val="0"/>
          <w:sz w:val="32"/>
          <w:szCs w:val="32"/>
          <w:highlight w:val="none"/>
        </w:rPr>
        <w:t>人，发放调查问卷</w:t>
      </w:r>
      <w:r>
        <w:rPr>
          <w:rFonts w:hint="eastAsia" w:ascii="仿宋" w:hAnsi="仿宋" w:eastAsia="仿宋" w:cs="仿宋"/>
          <w:b w:val="0"/>
          <w:bCs w:val="0"/>
          <w:sz w:val="32"/>
          <w:szCs w:val="32"/>
          <w:highlight w:val="none"/>
          <w:lang w:val="en-US" w:eastAsia="zh-CN"/>
        </w:rPr>
        <w:t>1146</w:t>
      </w:r>
      <w:r>
        <w:rPr>
          <w:rFonts w:hint="eastAsia" w:ascii="仿宋" w:hAnsi="仿宋" w:eastAsia="仿宋" w:cs="仿宋"/>
          <w:b w:val="0"/>
          <w:bCs w:val="0"/>
          <w:sz w:val="32"/>
          <w:szCs w:val="32"/>
          <w:highlight w:val="none"/>
        </w:rPr>
        <w:t>份，回收</w:t>
      </w:r>
      <w:r>
        <w:rPr>
          <w:rFonts w:hint="eastAsia" w:ascii="仿宋" w:hAnsi="仿宋" w:eastAsia="仿宋" w:cs="仿宋"/>
          <w:b w:val="0"/>
          <w:bCs w:val="0"/>
          <w:sz w:val="32"/>
          <w:szCs w:val="32"/>
          <w:highlight w:val="none"/>
          <w:lang w:val="en-US" w:eastAsia="zh-CN"/>
        </w:rPr>
        <w:t>1124</w:t>
      </w:r>
      <w:r>
        <w:rPr>
          <w:rFonts w:hint="eastAsia" w:ascii="仿宋" w:hAnsi="仿宋" w:eastAsia="仿宋" w:cs="仿宋"/>
          <w:b w:val="0"/>
          <w:bCs w:val="0"/>
          <w:sz w:val="32"/>
          <w:szCs w:val="32"/>
          <w:highlight w:val="none"/>
        </w:rPr>
        <w:t>份，其中有效问卷</w:t>
      </w:r>
      <w:r>
        <w:rPr>
          <w:rFonts w:hint="eastAsia" w:ascii="仿宋" w:hAnsi="仿宋" w:eastAsia="仿宋" w:cs="仿宋"/>
          <w:b w:val="0"/>
          <w:bCs w:val="0"/>
          <w:sz w:val="32"/>
          <w:szCs w:val="32"/>
          <w:highlight w:val="none"/>
          <w:lang w:val="en-US" w:eastAsia="zh-CN"/>
        </w:rPr>
        <w:t>1103</w:t>
      </w:r>
      <w:r>
        <w:rPr>
          <w:rFonts w:hint="eastAsia" w:ascii="仿宋" w:hAnsi="仿宋" w:eastAsia="仿宋" w:cs="仿宋"/>
          <w:b w:val="0"/>
          <w:bCs w:val="0"/>
          <w:sz w:val="32"/>
          <w:szCs w:val="32"/>
          <w:highlight w:val="none"/>
        </w:rPr>
        <w:t>份。其中非常满意人数</w:t>
      </w:r>
      <w:r>
        <w:rPr>
          <w:rFonts w:hint="eastAsia" w:ascii="仿宋" w:hAnsi="仿宋" w:eastAsia="仿宋" w:cs="仿宋"/>
          <w:b w:val="0"/>
          <w:bCs w:val="0"/>
          <w:sz w:val="32"/>
          <w:szCs w:val="32"/>
          <w:highlight w:val="none"/>
          <w:lang w:val="en-US" w:eastAsia="zh-CN"/>
        </w:rPr>
        <w:t>230</w:t>
      </w:r>
      <w:r>
        <w:rPr>
          <w:rFonts w:hint="eastAsia" w:ascii="仿宋" w:hAnsi="仿宋" w:eastAsia="仿宋" w:cs="仿宋"/>
          <w:b w:val="0"/>
          <w:bCs w:val="0"/>
          <w:sz w:val="32"/>
          <w:szCs w:val="32"/>
          <w:highlight w:val="none"/>
        </w:rPr>
        <w:t>人，满意</w:t>
      </w:r>
      <w:r>
        <w:rPr>
          <w:rFonts w:hint="eastAsia" w:ascii="仿宋" w:hAnsi="仿宋" w:eastAsia="仿宋" w:cs="仿宋"/>
          <w:b w:val="0"/>
          <w:bCs w:val="0"/>
          <w:sz w:val="32"/>
          <w:szCs w:val="32"/>
          <w:highlight w:val="none"/>
          <w:lang w:val="en-US" w:eastAsia="zh-CN"/>
        </w:rPr>
        <w:t>728</w:t>
      </w:r>
      <w:r>
        <w:rPr>
          <w:rFonts w:hint="eastAsia" w:ascii="仿宋" w:hAnsi="仿宋" w:eastAsia="仿宋" w:cs="仿宋"/>
          <w:b w:val="0"/>
          <w:bCs w:val="0"/>
          <w:sz w:val="32"/>
          <w:szCs w:val="32"/>
          <w:highlight w:val="none"/>
        </w:rPr>
        <w:t>人，不满意</w:t>
      </w:r>
      <w:r>
        <w:rPr>
          <w:rFonts w:hint="eastAsia" w:ascii="仿宋" w:hAnsi="仿宋" w:eastAsia="仿宋" w:cs="仿宋"/>
          <w:b w:val="0"/>
          <w:bCs w:val="0"/>
          <w:sz w:val="32"/>
          <w:szCs w:val="32"/>
          <w:highlight w:val="none"/>
          <w:lang w:val="en-US" w:eastAsia="zh-CN"/>
        </w:rPr>
        <w:t>145</w:t>
      </w:r>
      <w:r>
        <w:rPr>
          <w:rFonts w:hint="eastAsia" w:ascii="仿宋" w:hAnsi="仿宋" w:eastAsia="仿宋" w:cs="仿宋"/>
          <w:b w:val="0"/>
          <w:bCs w:val="0"/>
          <w:sz w:val="32"/>
          <w:szCs w:val="32"/>
          <w:highlight w:val="none"/>
        </w:rPr>
        <w:t>人，综合满意度为</w:t>
      </w:r>
      <w:r>
        <w:rPr>
          <w:rFonts w:hint="eastAsia" w:ascii="仿宋" w:hAnsi="仿宋" w:eastAsia="仿宋" w:cs="仿宋"/>
          <w:b w:val="0"/>
          <w:bCs w:val="0"/>
          <w:sz w:val="32"/>
          <w:szCs w:val="32"/>
          <w:highlight w:val="none"/>
          <w:lang w:val="en-US" w:eastAsia="zh-CN"/>
        </w:rPr>
        <w:t>87</w:t>
      </w:r>
      <w:r>
        <w:rPr>
          <w:rFonts w:hint="eastAsia" w:ascii="仿宋" w:hAnsi="仿宋" w:eastAsia="仿宋" w:cs="仿宋"/>
          <w:b w:val="0"/>
          <w:bCs w:val="0"/>
          <w:sz w:val="32"/>
          <w:szCs w:val="32"/>
          <w:highlight w:val="none"/>
        </w:rPr>
        <w:t>%，根据评分标准，该项指标标准分值10分，得分为</w:t>
      </w:r>
      <w:r>
        <w:rPr>
          <w:rFonts w:hint="eastAsia" w:ascii="仿宋" w:hAnsi="仿宋" w:eastAsia="仿宋" w:cs="仿宋"/>
          <w:b w:val="0"/>
          <w:bCs w:val="0"/>
          <w:sz w:val="32"/>
          <w:szCs w:val="32"/>
          <w:highlight w:val="none"/>
          <w:lang w:val="en-US" w:eastAsia="zh-CN"/>
        </w:rPr>
        <w:t>1</w:t>
      </w:r>
      <w:r>
        <w:rPr>
          <w:rFonts w:hint="eastAsia" w:ascii="仿宋" w:hAnsi="仿宋" w:eastAsia="仿宋" w:cs="仿宋"/>
          <w:b w:val="0"/>
          <w:bCs w:val="0"/>
          <w:sz w:val="32"/>
          <w:szCs w:val="32"/>
          <w:highlight w:val="none"/>
        </w:rPr>
        <w:t>0分。</w:t>
      </w:r>
      <w:bookmarkEnd w:id="52"/>
    </w:p>
    <w:p>
      <w:pPr>
        <w:pStyle w:val="2"/>
        <w:rPr>
          <w:highlight w:val="none"/>
        </w:rPr>
      </w:pPr>
      <w:bookmarkStart w:id="55" w:name="_Toc3428"/>
      <w:r>
        <w:rPr>
          <w:rFonts w:hint="eastAsia"/>
          <w:highlight w:val="none"/>
        </w:rPr>
        <w:t>四、成果和问题</w:t>
      </w:r>
      <w:bookmarkEnd w:id="53"/>
      <w:bookmarkEnd w:id="54"/>
      <w:bookmarkEnd w:id="55"/>
    </w:p>
    <w:p>
      <w:pPr>
        <w:pStyle w:val="3"/>
        <w:rPr>
          <w:highlight w:val="none"/>
        </w:rPr>
      </w:pPr>
      <w:bookmarkStart w:id="56" w:name="_Toc79333451"/>
      <w:bookmarkStart w:id="57" w:name="_Toc30132"/>
      <w:r>
        <w:rPr>
          <w:rFonts w:hint="eastAsia"/>
          <w:highlight w:val="none"/>
        </w:rPr>
        <w:t>（一）项目实施的成果</w:t>
      </w:r>
      <w:bookmarkEnd w:id="56"/>
      <w:bookmarkEnd w:id="57"/>
    </w:p>
    <w:p>
      <w:pPr>
        <w:ind w:firstLine="640"/>
        <w:rPr>
          <w:highlight w:val="none"/>
        </w:rPr>
      </w:pPr>
      <w:r>
        <w:rPr>
          <w:rFonts w:hint="eastAsia"/>
          <w:highlight w:val="none"/>
        </w:rPr>
        <w:t>一是项目产出质量安全事故发生次数达标，施工过程安全有效，保持零事故率。</w:t>
      </w:r>
    </w:p>
    <w:p>
      <w:pPr>
        <w:ind w:firstLine="640"/>
        <w:rPr>
          <w:highlight w:val="none"/>
        </w:rPr>
      </w:pPr>
      <w:r>
        <w:rPr>
          <w:rFonts w:hint="eastAsia"/>
          <w:highlight w:val="none"/>
        </w:rPr>
        <w:t>二是项目部管理工作到位，基本上未出现工作失误，各方满意度较高。</w:t>
      </w:r>
    </w:p>
    <w:p>
      <w:pPr>
        <w:pStyle w:val="3"/>
        <w:rPr>
          <w:b/>
          <w:highlight w:val="none"/>
        </w:rPr>
      </w:pPr>
      <w:bookmarkStart w:id="58" w:name="_Toc79333452"/>
      <w:bookmarkStart w:id="59" w:name="_Toc12176"/>
      <w:r>
        <w:rPr>
          <w:rFonts w:hint="eastAsia"/>
          <w:highlight w:val="none"/>
        </w:rPr>
        <w:t>（二）项目存在的问题</w:t>
      </w:r>
      <w:bookmarkEnd w:id="58"/>
      <w:bookmarkEnd w:id="59"/>
    </w:p>
    <w:p>
      <w:pPr>
        <w:ind w:firstLine="643"/>
        <w:rPr>
          <w:b/>
          <w:highlight w:val="none"/>
        </w:rPr>
      </w:pPr>
      <w:r>
        <w:rPr>
          <w:rFonts w:hint="eastAsia"/>
          <w:b/>
          <w:highlight w:val="none"/>
        </w:rPr>
        <w:t>1、前期绩效管理意识薄弱</w:t>
      </w:r>
    </w:p>
    <w:p>
      <w:pPr>
        <w:ind w:firstLine="640"/>
        <w:rPr>
          <w:highlight w:val="none"/>
        </w:rPr>
      </w:pPr>
      <w:r>
        <w:rPr>
          <w:rFonts w:hint="eastAsia"/>
          <w:highlight w:val="none"/>
        </w:rPr>
        <w:t>我单位在进行绩效自评工作时，发现由于前期绩效管理意识薄弱，</w:t>
      </w:r>
    </w:p>
    <w:p>
      <w:pPr>
        <w:ind w:firstLine="640"/>
        <w:rPr>
          <w:highlight w:val="none"/>
        </w:rPr>
      </w:pPr>
      <w:r>
        <w:rPr>
          <w:rFonts w:hint="eastAsia"/>
          <w:highlight w:val="none"/>
        </w:rPr>
        <w:t>未及时对项目全部资料进行梳理备案统一保管，出现资料不全问题，导致项目自评依据不完整，评价结果不够准确。</w:t>
      </w:r>
    </w:p>
    <w:p>
      <w:pPr>
        <w:ind w:firstLine="643"/>
        <w:rPr>
          <w:b/>
          <w:highlight w:val="none"/>
        </w:rPr>
      </w:pPr>
      <w:r>
        <w:rPr>
          <w:rFonts w:hint="eastAsia"/>
          <w:b/>
          <w:highlight w:val="none"/>
        </w:rPr>
        <w:t>2、绩效管理水平有待进一步提高</w:t>
      </w:r>
    </w:p>
    <w:p>
      <w:pPr>
        <w:ind w:firstLine="640"/>
        <w:rPr>
          <w:highlight w:val="none"/>
        </w:rPr>
      </w:pPr>
      <w:r>
        <w:rPr>
          <w:rFonts w:hint="eastAsia"/>
          <w:highlight w:val="none"/>
        </w:rPr>
        <w:t>我单位在进行绩效自评工作时，发现个别绩效指标设置不够合理，细化量化程度不足，自评结果不够准确。</w:t>
      </w:r>
    </w:p>
    <w:p>
      <w:pPr>
        <w:pStyle w:val="2"/>
        <w:rPr>
          <w:highlight w:val="none"/>
        </w:rPr>
      </w:pPr>
      <w:bookmarkStart w:id="60" w:name="_Toc27227"/>
      <w:bookmarkStart w:id="61" w:name="_Toc79333453"/>
      <w:bookmarkStart w:id="62" w:name="_Toc26306"/>
      <w:r>
        <w:rPr>
          <w:rFonts w:hint="eastAsia"/>
          <w:highlight w:val="none"/>
        </w:rPr>
        <w:t>五、建议</w:t>
      </w:r>
      <w:bookmarkEnd w:id="60"/>
      <w:bookmarkEnd w:id="61"/>
      <w:bookmarkEnd w:id="62"/>
    </w:p>
    <w:p>
      <w:pPr>
        <w:pStyle w:val="3"/>
        <w:rPr>
          <w:highlight w:val="none"/>
        </w:rPr>
      </w:pPr>
      <w:bookmarkStart w:id="63" w:name="_Toc79333454"/>
      <w:bookmarkStart w:id="64" w:name="_Toc6982"/>
      <w:r>
        <w:rPr>
          <w:rFonts w:hint="eastAsia"/>
          <w:highlight w:val="none"/>
        </w:rPr>
        <w:t>（一）强化预算绩效管理意识，提升项目产出效益</w:t>
      </w:r>
      <w:bookmarkEnd w:id="63"/>
      <w:bookmarkEnd w:id="64"/>
    </w:p>
    <w:p>
      <w:pPr>
        <w:ind w:firstLine="64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我单位应按照全面实施预算绩效管理工作要求：牢固树立“花钱必有效，无效必问责”的预算绩效管理理念，加快推进全方位、全过程、全覆盖的预算绩效管理体系建设，积极推进全面实施预算绩效管理工作，提升预算绩效管理水平。为发挥好财政职能作用，必须按照全面深化改革的要求，提高单位绩效管理意识，使财政资金发挥真正的效益。</w:t>
      </w:r>
    </w:p>
    <w:p>
      <w:pPr>
        <w:pStyle w:val="3"/>
        <w:rPr>
          <w:highlight w:val="none"/>
        </w:rPr>
      </w:pPr>
      <w:bookmarkStart w:id="65" w:name="_Toc79333455"/>
      <w:bookmarkStart w:id="66" w:name="_Toc5661"/>
      <w:r>
        <w:rPr>
          <w:rFonts w:hint="eastAsia"/>
          <w:highlight w:val="none"/>
        </w:rPr>
        <w:t>（二）加强学习培训，进一步提高绩效管理水平</w:t>
      </w:r>
      <w:bookmarkEnd w:id="65"/>
      <w:bookmarkEnd w:id="66"/>
    </w:p>
    <w:p>
      <w:pPr>
        <w:ind w:firstLine="640"/>
        <w:rPr>
          <w:highlight w:val="none"/>
        </w:rPr>
      </w:pPr>
      <w:r>
        <w:rPr>
          <w:rFonts w:hint="eastAsia"/>
          <w:highlight w:val="none"/>
        </w:rPr>
        <w:t>本次自评属我单位首次开展，通过本次自评，发现我单位整体绩效评价水平不够，为更好的开展以后绩效评价和项目管理工作，建议财政部门组织绩效管理专题培训会议。</w:t>
      </w:r>
    </w:p>
    <w:p>
      <w:pPr>
        <w:ind w:firstLine="640"/>
        <w:rPr>
          <w:highlight w:val="none"/>
        </w:rPr>
      </w:pPr>
    </w:p>
    <w:p>
      <w:pPr>
        <w:pStyle w:val="2"/>
        <w:rPr>
          <w:highlight w:val="none"/>
        </w:rPr>
      </w:pPr>
      <w:bookmarkStart w:id="67" w:name="_Toc79333457"/>
      <w:bookmarkStart w:id="68" w:name="_Toc665"/>
      <w:bookmarkStart w:id="69" w:name="_Toc10338"/>
      <w:r>
        <w:rPr>
          <w:rFonts w:hint="eastAsia"/>
          <w:highlight w:val="none"/>
        </w:rPr>
        <w:t>六、其他需要说明的问题</w:t>
      </w:r>
      <w:bookmarkEnd w:id="67"/>
      <w:bookmarkEnd w:id="68"/>
      <w:bookmarkEnd w:id="69"/>
    </w:p>
    <w:p>
      <w:pPr>
        <w:ind w:firstLine="640"/>
        <w:rPr>
          <w:highlight w:val="none"/>
        </w:rPr>
      </w:pPr>
      <w:r>
        <w:rPr>
          <w:rFonts w:hint="eastAsia"/>
          <w:highlight w:val="none"/>
        </w:rPr>
        <w:t>无</w:t>
      </w:r>
    </w:p>
    <w:p>
      <w:pPr>
        <w:pStyle w:val="2"/>
        <w:rPr>
          <w:highlight w:val="none"/>
        </w:rPr>
      </w:pPr>
      <w:bookmarkStart w:id="70" w:name="_Toc79333458"/>
      <w:bookmarkStart w:id="71" w:name="_Toc61882435"/>
      <w:bookmarkStart w:id="72" w:name="_Toc62030119"/>
      <w:bookmarkStart w:id="73" w:name="_Toc75871379"/>
      <w:bookmarkStart w:id="74" w:name="_Toc17766"/>
      <w:r>
        <w:rPr>
          <w:rFonts w:hint="eastAsia"/>
          <w:highlight w:val="none"/>
        </w:rPr>
        <w:t>七、附件</w:t>
      </w:r>
      <w:bookmarkEnd w:id="70"/>
      <w:bookmarkEnd w:id="71"/>
      <w:bookmarkEnd w:id="72"/>
      <w:bookmarkEnd w:id="73"/>
      <w:bookmarkEnd w:id="74"/>
    </w:p>
    <w:p>
      <w:pPr>
        <w:ind w:firstLine="640"/>
        <w:rPr>
          <w:highlight w:val="none"/>
        </w:rPr>
      </w:pPr>
      <w:r>
        <w:rPr>
          <w:rFonts w:hint="eastAsia"/>
          <w:highlight w:val="none"/>
        </w:rPr>
        <w:t>附件一：项目绩效自评表</w:t>
      </w:r>
    </w:p>
    <w:p>
      <w:pPr>
        <w:ind w:firstLine="640"/>
        <w:rPr>
          <w:highlight w:val="none"/>
        </w:rPr>
      </w:pPr>
    </w:p>
    <w:p>
      <w:pPr>
        <w:ind w:firstLine="640"/>
        <w:rPr>
          <w:highlight w:val="none"/>
        </w:rPr>
        <w:sectPr>
          <w:footerReference r:id="rId6" w:type="default"/>
          <w:pgSz w:w="11906" w:h="16838"/>
          <w:pgMar w:top="1440" w:right="1800" w:bottom="1440" w:left="1800" w:header="851" w:footer="737" w:gutter="0"/>
          <w:pgNumType w:fmt="decimal" w:start="1"/>
          <w:cols w:space="0" w:num="1"/>
          <w:docGrid w:linePitch="312" w:charSpace="0"/>
        </w:sectPr>
      </w:pPr>
    </w:p>
    <w:p>
      <w:pPr>
        <w:pStyle w:val="3"/>
        <w:rPr>
          <w:highlight w:val="none"/>
        </w:rPr>
      </w:pPr>
      <w:bookmarkStart w:id="75" w:name="_Toc61882642"/>
      <w:bookmarkStart w:id="76" w:name="_Toc75871380"/>
      <w:bookmarkStart w:id="77" w:name="_Toc79333459"/>
      <w:bookmarkStart w:id="78" w:name="_Toc62030120"/>
      <w:bookmarkStart w:id="79" w:name="_Toc7757"/>
      <w:r>
        <w:rPr>
          <w:rFonts w:hint="eastAsia"/>
          <w:highlight w:val="none"/>
        </w:rPr>
        <w:t>附件一：项目绩效自评表</w:t>
      </w:r>
      <w:bookmarkEnd w:id="75"/>
      <w:bookmarkEnd w:id="76"/>
      <w:bookmarkEnd w:id="77"/>
      <w:bookmarkEnd w:id="78"/>
      <w:bookmarkEnd w:id="79"/>
    </w:p>
    <w:p>
      <w:pPr>
        <w:tabs>
          <w:tab w:val="left" w:pos="1400"/>
        </w:tabs>
        <w:spacing w:line="20" w:lineRule="exact"/>
        <w:ind w:firstLine="640"/>
        <w:rPr>
          <w:highlight w:val="none"/>
        </w:rPr>
      </w:pPr>
    </w:p>
    <w:sectPr>
      <w:pgSz w:w="16838" w:h="11906" w:orient="landscape"/>
      <w:pgMar w:top="1797" w:right="1440" w:bottom="1797" w:left="1440" w:header="851" w:footer="992" w:gutter="0"/>
      <w:pgNumType w:fmt="decimal"/>
      <w:cols w:space="425" w:num="1"/>
      <w:docGrid w:type="linesAndChars" w:linePitch="312" w:charSpace="0"/>
    </w:sectPr>
  </w:body>
</w:document>
</file>

<file path=word/customizations.xml><?xml version="1.0" encoding="utf-8"?>
<wne:tcg xmlns:r="http://schemas.openxmlformats.org/officeDocument/2006/relationships" xmlns:wne="http://schemas.microsoft.com/office/word/2006/wordml">
  <wne:keymaps>
    <wne:keymap wne:kcmPrimary="0431">
      <wne:acd wne:acdName="acd0"/>
    </wne:keymap>
    <wne:keymap wne:kcmPrimary="0432">
      <wne:acd wne:acdName="acd1"/>
    </wne:keymap>
    <wne:keymap wne:kcmPrimary="0433">
      <wne:acd wne:acdName="acd2"/>
    </wne:keymap>
    <wne:keymap wne:kcmPrimary="0435">
      <wne:acd wne:acdName="acd3"/>
    </wne:keymap>
  </wne:keymaps>
  <wne:acds>
    <wne:acd wne:argValue="AQAAAAAA" wne:acdName="acd0" wne:fciIndexBasedOn="0065"/>
    <wne:acd wne:argValue="AQAAAAIA" wne:acdName="acd1" wne:fciIndexBasedOn="0065"/>
    <wne:acd wne:argValue="AQAAAAMA" wne:acdName="acd2" wne:fciIndexBasedOn="0065"/>
    <wne:acd wne:argValue="AgBoiDxo" wne:acdName="acd3"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5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ind w:firstLine="560"/>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8"/>
                      <w:ind w:firstLine="560"/>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560"/>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8"/>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F18868"/>
    <w:multiLevelType w:val="singleLevel"/>
    <w:tmpl w:val="41F18868"/>
    <w:lvl w:ilvl="0" w:tentative="0">
      <w:start w:val="1"/>
      <w:numFmt w:val="decimal"/>
      <w:suff w:val="nothing"/>
      <w:lvlText w:val="%1．"/>
      <w:lvlJc w:val="left"/>
      <w:pPr>
        <w:ind w:left="0" w:firstLine="4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280"/>
  <w:drawingGridVerticalSpacing w:val="156"/>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UyMGY5ODlhZmI4MDM1Zjk3ZDNlNzQ4OTRmOTg0ZmUifQ=="/>
  </w:docVars>
  <w:rsids>
    <w:rsidRoot w:val="006E18D1"/>
    <w:rsid w:val="00000467"/>
    <w:rsid w:val="00014831"/>
    <w:rsid w:val="00015EA2"/>
    <w:rsid w:val="00017BC4"/>
    <w:rsid w:val="00020A09"/>
    <w:rsid w:val="00033BB4"/>
    <w:rsid w:val="0003465C"/>
    <w:rsid w:val="0007513C"/>
    <w:rsid w:val="00084C11"/>
    <w:rsid w:val="000A5385"/>
    <w:rsid w:val="000A56EE"/>
    <w:rsid w:val="000E7769"/>
    <w:rsid w:val="00107A3B"/>
    <w:rsid w:val="00111C89"/>
    <w:rsid w:val="00114002"/>
    <w:rsid w:val="001209A1"/>
    <w:rsid w:val="00124E12"/>
    <w:rsid w:val="00134BDF"/>
    <w:rsid w:val="001372F1"/>
    <w:rsid w:val="00143FC7"/>
    <w:rsid w:val="00172020"/>
    <w:rsid w:val="00173BDA"/>
    <w:rsid w:val="00183550"/>
    <w:rsid w:val="00187CCE"/>
    <w:rsid w:val="00195B9E"/>
    <w:rsid w:val="001971D2"/>
    <w:rsid w:val="001B0C73"/>
    <w:rsid w:val="001B6E21"/>
    <w:rsid w:val="001C2BC4"/>
    <w:rsid w:val="001C4182"/>
    <w:rsid w:val="001D3BA3"/>
    <w:rsid w:val="001D6625"/>
    <w:rsid w:val="00206C6A"/>
    <w:rsid w:val="00224728"/>
    <w:rsid w:val="00227546"/>
    <w:rsid w:val="002507E2"/>
    <w:rsid w:val="002525ED"/>
    <w:rsid w:val="00252BB8"/>
    <w:rsid w:val="002649B8"/>
    <w:rsid w:val="00265560"/>
    <w:rsid w:val="002A61B1"/>
    <w:rsid w:val="002B6AB4"/>
    <w:rsid w:val="002B779B"/>
    <w:rsid w:val="002C32A5"/>
    <w:rsid w:val="002D335B"/>
    <w:rsid w:val="002E2F3F"/>
    <w:rsid w:val="002F169E"/>
    <w:rsid w:val="00302EE8"/>
    <w:rsid w:val="00303563"/>
    <w:rsid w:val="00335542"/>
    <w:rsid w:val="00337A20"/>
    <w:rsid w:val="003477C0"/>
    <w:rsid w:val="00357430"/>
    <w:rsid w:val="0035746E"/>
    <w:rsid w:val="003740DA"/>
    <w:rsid w:val="00397BDC"/>
    <w:rsid w:val="003C1582"/>
    <w:rsid w:val="003D69A6"/>
    <w:rsid w:val="003E1139"/>
    <w:rsid w:val="003E1513"/>
    <w:rsid w:val="003E56BE"/>
    <w:rsid w:val="003E5C49"/>
    <w:rsid w:val="003E69D2"/>
    <w:rsid w:val="00402DC2"/>
    <w:rsid w:val="004034F0"/>
    <w:rsid w:val="00410C6F"/>
    <w:rsid w:val="0042364F"/>
    <w:rsid w:val="004333B5"/>
    <w:rsid w:val="00441F6E"/>
    <w:rsid w:val="004478BE"/>
    <w:rsid w:val="004839E2"/>
    <w:rsid w:val="004869ED"/>
    <w:rsid w:val="00496DC4"/>
    <w:rsid w:val="004B04EA"/>
    <w:rsid w:val="004B274D"/>
    <w:rsid w:val="004B59BE"/>
    <w:rsid w:val="004B702C"/>
    <w:rsid w:val="004C4A8B"/>
    <w:rsid w:val="004C73AE"/>
    <w:rsid w:val="004D1D02"/>
    <w:rsid w:val="004D38F1"/>
    <w:rsid w:val="004E5F55"/>
    <w:rsid w:val="00500253"/>
    <w:rsid w:val="00511AED"/>
    <w:rsid w:val="00532771"/>
    <w:rsid w:val="005360C8"/>
    <w:rsid w:val="00544CD5"/>
    <w:rsid w:val="00546688"/>
    <w:rsid w:val="005A1AFF"/>
    <w:rsid w:val="005A4096"/>
    <w:rsid w:val="005A5773"/>
    <w:rsid w:val="005B558F"/>
    <w:rsid w:val="005B5B94"/>
    <w:rsid w:val="005C4E72"/>
    <w:rsid w:val="005D1837"/>
    <w:rsid w:val="005D751E"/>
    <w:rsid w:val="005E2918"/>
    <w:rsid w:val="006067A5"/>
    <w:rsid w:val="00612F8F"/>
    <w:rsid w:val="00617387"/>
    <w:rsid w:val="006219B2"/>
    <w:rsid w:val="00634FF9"/>
    <w:rsid w:val="00636695"/>
    <w:rsid w:val="00642BB8"/>
    <w:rsid w:val="006447D8"/>
    <w:rsid w:val="006564C8"/>
    <w:rsid w:val="00671DEC"/>
    <w:rsid w:val="00682436"/>
    <w:rsid w:val="00687B10"/>
    <w:rsid w:val="00696AC7"/>
    <w:rsid w:val="006A0C3B"/>
    <w:rsid w:val="006E18D1"/>
    <w:rsid w:val="006F4D2E"/>
    <w:rsid w:val="006F7BD2"/>
    <w:rsid w:val="00707F5E"/>
    <w:rsid w:val="00722BF5"/>
    <w:rsid w:val="00722EB4"/>
    <w:rsid w:val="007245B6"/>
    <w:rsid w:val="00731FB1"/>
    <w:rsid w:val="00732859"/>
    <w:rsid w:val="00733D5C"/>
    <w:rsid w:val="00735E28"/>
    <w:rsid w:val="00761B7C"/>
    <w:rsid w:val="00766ECA"/>
    <w:rsid w:val="00775087"/>
    <w:rsid w:val="00787EC4"/>
    <w:rsid w:val="007D3F2B"/>
    <w:rsid w:val="007D46F5"/>
    <w:rsid w:val="007D5474"/>
    <w:rsid w:val="007E038E"/>
    <w:rsid w:val="007E3BBD"/>
    <w:rsid w:val="007E5459"/>
    <w:rsid w:val="007E62E5"/>
    <w:rsid w:val="00801C96"/>
    <w:rsid w:val="00824FE0"/>
    <w:rsid w:val="00834760"/>
    <w:rsid w:val="00847FDB"/>
    <w:rsid w:val="00865BF0"/>
    <w:rsid w:val="0087096D"/>
    <w:rsid w:val="00881F40"/>
    <w:rsid w:val="00895EDD"/>
    <w:rsid w:val="008A0688"/>
    <w:rsid w:val="008A4705"/>
    <w:rsid w:val="008C005F"/>
    <w:rsid w:val="008C5DBA"/>
    <w:rsid w:val="008D1D7D"/>
    <w:rsid w:val="008E6B96"/>
    <w:rsid w:val="008F2D7E"/>
    <w:rsid w:val="008F4C9D"/>
    <w:rsid w:val="00934336"/>
    <w:rsid w:val="009422C0"/>
    <w:rsid w:val="00970DB8"/>
    <w:rsid w:val="009778B5"/>
    <w:rsid w:val="00984FD9"/>
    <w:rsid w:val="00987BBA"/>
    <w:rsid w:val="00996076"/>
    <w:rsid w:val="009A179D"/>
    <w:rsid w:val="009C3CD7"/>
    <w:rsid w:val="009D346F"/>
    <w:rsid w:val="009E1278"/>
    <w:rsid w:val="009E624C"/>
    <w:rsid w:val="009F1EC3"/>
    <w:rsid w:val="00A02EC6"/>
    <w:rsid w:val="00A06E53"/>
    <w:rsid w:val="00A1660B"/>
    <w:rsid w:val="00A31898"/>
    <w:rsid w:val="00A34962"/>
    <w:rsid w:val="00A40895"/>
    <w:rsid w:val="00A43398"/>
    <w:rsid w:val="00A44857"/>
    <w:rsid w:val="00A63B01"/>
    <w:rsid w:val="00A7105B"/>
    <w:rsid w:val="00A75DD3"/>
    <w:rsid w:val="00A82F02"/>
    <w:rsid w:val="00AB3EF4"/>
    <w:rsid w:val="00AC11B2"/>
    <w:rsid w:val="00AD4EBA"/>
    <w:rsid w:val="00AF224E"/>
    <w:rsid w:val="00AF6F73"/>
    <w:rsid w:val="00B14E63"/>
    <w:rsid w:val="00B40DB3"/>
    <w:rsid w:val="00B466AA"/>
    <w:rsid w:val="00B62F12"/>
    <w:rsid w:val="00B63496"/>
    <w:rsid w:val="00B81089"/>
    <w:rsid w:val="00B8648A"/>
    <w:rsid w:val="00BD7931"/>
    <w:rsid w:val="00BE677A"/>
    <w:rsid w:val="00C21D02"/>
    <w:rsid w:val="00C35AE1"/>
    <w:rsid w:val="00C66709"/>
    <w:rsid w:val="00C71C69"/>
    <w:rsid w:val="00C80024"/>
    <w:rsid w:val="00CB54A7"/>
    <w:rsid w:val="00CD2B60"/>
    <w:rsid w:val="00CF2DA9"/>
    <w:rsid w:val="00CF491C"/>
    <w:rsid w:val="00D07830"/>
    <w:rsid w:val="00D15E31"/>
    <w:rsid w:val="00D476C0"/>
    <w:rsid w:val="00D70EB7"/>
    <w:rsid w:val="00D7279B"/>
    <w:rsid w:val="00D9580A"/>
    <w:rsid w:val="00DA2131"/>
    <w:rsid w:val="00DA365D"/>
    <w:rsid w:val="00DC0EB4"/>
    <w:rsid w:val="00DD348E"/>
    <w:rsid w:val="00DD78B0"/>
    <w:rsid w:val="00E008C2"/>
    <w:rsid w:val="00E12715"/>
    <w:rsid w:val="00E24223"/>
    <w:rsid w:val="00E56A15"/>
    <w:rsid w:val="00E731B0"/>
    <w:rsid w:val="00E750CA"/>
    <w:rsid w:val="00E80793"/>
    <w:rsid w:val="00E81348"/>
    <w:rsid w:val="00E82D87"/>
    <w:rsid w:val="00E96285"/>
    <w:rsid w:val="00EB256C"/>
    <w:rsid w:val="00EB37C1"/>
    <w:rsid w:val="00ED2DB2"/>
    <w:rsid w:val="00EE3F62"/>
    <w:rsid w:val="00EE5338"/>
    <w:rsid w:val="00F03325"/>
    <w:rsid w:val="00F04028"/>
    <w:rsid w:val="00F10B47"/>
    <w:rsid w:val="00F37DD9"/>
    <w:rsid w:val="00F5485B"/>
    <w:rsid w:val="00F737AF"/>
    <w:rsid w:val="00F8011D"/>
    <w:rsid w:val="00F85591"/>
    <w:rsid w:val="00F93752"/>
    <w:rsid w:val="00FB028C"/>
    <w:rsid w:val="00FC619A"/>
    <w:rsid w:val="00FE4427"/>
    <w:rsid w:val="00FE5E78"/>
    <w:rsid w:val="00FF64F1"/>
    <w:rsid w:val="01181797"/>
    <w:rsid w:val="01645940"/>
    <w:rsid w:val="03C660F1"/>
    <w:rsid w:val="042B4352"/>
    <w:rsid w:val="06DD5138"/>
    <w:rsid w:val="07D72202"/>
    <w:rsid w:val="09034D82"/>
    <w:rsid w:val="09FB33B8"/>
    <w:rsid w:val="0EE02FCE"/>
    <w:rsid w:val="11D14067"/>
    <w:rsid w:val="1B002515"/>
    <w:rsid w:val="1BA50EE0"/>
    <w:rsid w:val="1CAA5459"/>
    <w:rsid w:val="1CBF4C66"/>
    <w:rsid w:val="1F582976"/>
    <w:rsid w:val="21032E75"/>
    <w:rsid w:val="2449572C"/>
    <w:rsid w:val="2636356A"/>
    <w:rsid w:val="28577A06"/>
    <w:rsid w:val="2AE845D1"/>
    <w:rsid w:val="2F6653CE"/>
    <w:rsid w:val="30FD39D4"/>
    <w:rsid w:val="33F6011C"/>
    <w:rsid w:val="340A4177"/>
    <w:rsid w:val="35025727"/>
    <w:rsid w:val="35415512"/>
    <w:rsid w:val="358D1218"/>
    <w:rsid w:val="360509BD"/>
    <w:rsid w:val="37360FC5"/>
    <w:rsid w:val="390B472B"/>
    <w:rsid w:val="3B080524"/>
    <w:rsid w:val="3F6D1036"/>
    <w:rsid w:val="408C5853"/>
    <w:rsid w:val="410B170B"/>
    <w:rsid w:val="441E6300"/>
    <w:rsid w:val="47D34989"/>
    <w:rsid w:val="4A506B41"/>
    <w:rsid w:val="4CBF59F6"/>
    <w:rsid w:val="4E992DD9"/>
    <w:rsid w:val="50C37060"/>
    <w:rsid w:val="533F163E"/>
    <w:rsid w:val="55F834F4"/>
    <w:rsid w:val="572A0CC1"/>
    <w:rsid w:val="5B260BC9"/>
    <w:rsid w:val="5B5451EA"/>
    <w:rsid w:val="5CD42C71"/>
    <w:rsid w:val="611B0B6F"/>
    <w:rsid w:val="63BF54E2"/>
    <w:rsid w:val="65091475"/>
    <w:rsid w:val="65A17FA7"/>
    <w:rsid w:val="666D63A3"/>
    <w:rsid w:val="69312D5B"/>
    <w:rsid w:val="6ABB68E5"/>
    <w:rsid w:val="6B4750DC"/>
    <w:rsid w:val="6D033841"/>
    <w:rsid w:val="70493BA2"/>
    <w:rsid w:val="74AD3F2D"/>
    <w:rsid w:val="75BB1238"/>
    <w:rsid w:val="77753743"/>
    <w:rsid w:val="789E7920"/>
    <w:rsid w:val="79826E82"/>
    <w:rsid w:val="7BF34CA6"/>
    <w:rsid w:val="7D3A3095"/>
    <w:rsid w:val="7ED550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nhideWhenUsed="0" w:uiPriority="0" w:semiHidden="0" w:name="Body Text First Indent"/>
    <w:lsdException w:uiPriority="99" w:name="Body Text First Indent 2"/>
    <w:lsdException w:uiPriority="99" w:name="Note Heading"/>
    <w:lsdException w:unhideWhenUsed="0" w:uiPriority="0" w:semiHidden="0"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560" w:lineRule="exact"/>
      <w:ind w:firstLine="1044" w:firstLineChars="200"/>
      <w:jc w:val="both"/>
    </w:pPr>
    <w:rPr>
      <w:rFonts w:ascii="仿宋" w:hAnsi="仿宋" w:eastAsia="仿宋" w:cstheme="minorBidi"/>
      <w:kern w:val="2"/>
      <w:sz w:val="32"/>
      <w:szCs w:val="32"/>
      <w:lang w:val="en-US" w:eastAsia="zh-CN" w:bidi="ar-SA"/>
    </w:rPr>
  </w:style>
  <w:style w:type="paragraph" w:styleId="2">
    <w:name w:val="heading 1"/>
    <w:basedOn w:val="1"/>
    <w:next w:val="1"/>
    <w:link w:val="19"/>
    <w:qFormat/>
    <w:uiPriority w:val="9"/>
    <w:pPr>
      <w:keepNext/>
      <w:keepLines/>
      <w:ind w:firstLine="0" w:firstLineChars="0"/>
      <w:jc w:val="left"/>
      <w:outlineLvl w:val="0"/>
    </w:pPr>
    <w:rPr>
      <w:rFonts w:ascii="黑体" w:hAnsi="黑体" w:eastAsia="黑体"/>
      <w:b/>
      <w:bCs/>
      <w:kern w:val="44"/>
    </w:rPr>
  </w:style>
  <w:style w:type="paragraph" w:styleId="3">
    <w:name w:val="heading 2"/>
    <w:basedOn w:val="1"/>
    <w:next w:val="4"/>
    <w:link w:val="17"/>
    <w:unhideWhenUsed/>
    <w:qFormat/>
    <w:uiPriority w:val="9"/>
    <w:pPr>
      <w:keepNext/>
      <w:keepLines/>
      <w:ind w:firstLine="0" w:firstLineChars="0"/>
      <w:jc w:val="left"/>
      <w:outlineLvl w:val="1"/>
    </w:pPr>
    <w:rPr>
      <w:rFonts w:ascii="楷体" w:hAnsi="楷体" w:eastAsia="楷体" w:cstheme="majorBidi"/>
      <w:b/>
      <w:bCs/>
    </w:rPr>
  </w:style>
  <w:style w:type="paragraph" w:styleId="4">
    <w:name w:val="heading 3"/>
    <w:basedOn w:val="1"/>
    <w:next w:val="1"/>
    <w:link w:val="20"/>
    <w:unhideWhenUsed/>
    <w:qFormat/>
    <w:uiPriority w:val="9"/>
    <w:pPr>
      <w:keepNext/>
      <w:keepLines/>
      <w:ind w:firstLine="200"/>
      <w:jc w:val="left"/>
      <w:outlineLvl w:val="2"/>
    </w:pPr>
    <w:rPr>
      <w:rFonts w:ascii="宋体" w:hAnsi="宋体"/>
      <w:b/>
      <w:bCs/>
    </w:rPr>
  </w:style>
  <w:style w:type="paragraph" w:styleId="5">
    <w:name w:val="heading 4"/>
    <w:basedOn w:val="1"/>
    <w:next w:val="1"/>
    <w:link w:val="21"/>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qFormat/>
    <w:uiPriority w:val="0"/>
    <w:pPr>
      <w:jc w:val="left"/>
    </w:pPr>
  </w:style>
  <w:style w:type="paragraph" w:styleId="7">
    <w:name w:val="toc 3"/>
    <w:basedOn w:val="1"/>
    <w:next w:val="1"/>
    <w:unhideWhenUsed/>
    <w:qFormat/>
    <w:uiPriority w:val="39"/>
    <w:pPr>
      <w:ind w:left="840" w:leftChars="400"/>
    </w:pPr>
  </w:style>
  <w:style w:type="paragraph" w:styleId="8">
    <w:name w:val="footer"/>
    <w:basedOn w:val="1"/>
    <w:link w:val="18"/>
    <w:unhideWhenUsed/>
    <w:qFormat/>
    <w:uiPriority w:val="99"/>
    <w:pPr>
      <w:tabs>
        <w:tab w:val="center" w:pos="4153"/>
        <w:tab w:val="right" w:pos="8306"/>
      </w:tabs>
      <w:spacing w:line="240" w:lineRule="auto"/>
      <w:ind w:firstLine="0" w:firstLineChars="0"/>
      <w:jc w:val="left"/>
    </w:pPr>
    <w:rPr>
      <w:sz w:val="28"/>
      <w:szCs w:val="2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pacing w:line="240" w:lineRule="auto"/>
    </w:pPr>
    <w:rPr>
      <w:sz w:val="18"/>
    </w:rPr>
  </w:style>
  <w:style w:type="paragraph" w:styleId="10">
    <w:name w:val="toc 1"/>
    <w:basedOn w:val="1"/>
    <w:next w:val="1"/>
    <w:unhideWhenUsed/>
    <w:qFormat/>
    <w:uiPriority w:val="39"/>
    <w:pPr>
      <w:tabs>
        <w:tab w:val="right" w:leader="dot" w:pos="8296"/>
      </w:tabs>
      <w:ind w:firstLine="0" w:firstLineChars="0"/>
      <w:jc w:val="center"/>
    </w:pPr>
    <w:rPr>
      <w:b/>
    </w:rPr>
  </w:style>
  <w:style w:type="paragraph" w:styleId="11">
    <w:name w:val="toc 2"/>
    <w:basedOn w:val="1"/>
    <w:next w:val="1"/>
    <w:unhideWhenUsed/>
    <w:qFormat/>
    <w:uiPriority w:val="39"/>
    <w:pPr>
      <w:ind w:left="420" w:leftChars="200" w:firstLine="0" w:firstLineChars="0"/>
    </w:p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5">
    <w:name w:val="表格"/>
    <w:basedOn w:val="1"/>
    <w:next w:val="1"/>
    <w:qFormat/>
    <w:uiPriority w:val="0"/>
    <w:pPr>
      <w:spacing w:line="240" w:lineRule="auto"/>
      <w:ind w:firstLine="0" w:firstLineChars="0"/>
      <w:jc w:val="center"/>
    </w:pPr>
    <w:rPr>
      <w:rFonts w:ascii="Times New Roman" w:hAnsi="Times New Roman"/>
      <w:sz w:val="24"/>
      <w:szCs w:val="24"/>
    </w:rPr>
  </w:style>
  <w:style w:type="paragraph" w:customStyle="1" w:styleId="16">
    <w:name w:val="表头"/>
    <w:basedOn w:val="1"/>
    <w:next w:val="1"/>
    <w:qFormat/>
    <w:uiPriority w:val="0"/>
    <w:pPr>
      <w:spacing w:before="100" w:after="100"/>
      <w:jc w:val="center"/>
    </w:pPr>
    <w:rPr>
      <w:rFonts w:ascii="Times New Roman" w:hAnsi="Times New Roman"/>
      <w:b/>
      <w:bCs/>
      <w:szCs w:val="28"/>
    </w:rPr>
  </w:style>
  <w:style w:type="character" w:customStyle="1" w:styleId="17">
    <w:name w:val="标题 2 字符"/>
    <w:basedOn w:val="14"/>
    <w:link w:val="3"/>
    <w:qFormat/>
    <w:uiPriority w:val="9"/>
    <w:rPr>
      <w:rFonts w:ascii="楷体" w:hAnsi="楷体" w:eastAsia="楷体" w:cstheme="majorBidi"/>
      <w:b/>
      <w:bCs/>
      <w:kern w:val="2"/>
      <w:sz w:val="32"/>
      <w:szCs w:val="32"/>
    </w:rPr>
  </w:style>
  <w:style w:type="character" w:customStyle="1" w:styleId="18">
    <w:name w:val="页脚 字符"/>
    <w:basedOn w:val="14"/>
    <w:link w:val="8"/>
    <w:qFormat/>
    <w:uiPriority w:val="99"/>
    <w:rPr>
      <w:rFonts w:eastAsia="仿宋"/>
      <w:sz w:val="28"/>
      <w:szCs w:val="28"/>
    </w:rPr>
  </w:style>
  <w:style w:type="character" w:customStyle="1" w:styleId="19">
    <w:name w:val="标题 1 字符"/>
    <w:basedOn w:val="14"/>
    <w:link w:val="2"/>
    <w:qFormat/>
    <w:uiPriority w:val="9"/>
    <w:rPr>
      <w:rFonts w:ascii="黑体" w:hAnsi="黑体" w:eastAsia="黑体"/>
      <w:b/>
      <w:bCs/>
      <w:kern w:val="44"/>
      <w:sz w:val="32"/>
      <w:szCs w:val="32"/>
    </w:rPr>
  </w:style>
  <w:style w:type="character" w:customStyle="1" w:styleId="20">
    <w:name w:val="标题 3 字符"/>
    <w:basedOn w:val="14"/>
    <w:link w:val="4"/>
    <w:qFormat/>
    <w:uiPriority w:val="9"/>
    <w:rPr>
      <w:rFonts w:ascii="宋体" w:hAnsi="宋体" w:eastAsia="仿宋"/>
      <w:b/>
      <w:bCs/>
      <w:kern w:val="2"/>
      <w:sz w:val="32"/>
      <w:szCs w:val="32"/>
    </w:rPr>
  </w:style>
  <w:style w:type="character" w:customStyle="1" w:styleId="21">
    <w:name w:val="标题 4 字符"/>
    <w:basedOn w:val="14"/>
    <w:link w:val="5"/>
    <w:semiHidden/>
    <w:qFormat/>
    <w:uiPriority w:val="9"/>
    <w:rPr>
      <w:rFonts w:asciiTheme="majorHAnsi" w:hAnsiTheme="majorHAnsi" w:eastAsiaTheme="majorEastAsia" w:cstheme="majorBidi"/>
      <w:b/>
      <w:bCs/>
      <w:kern w:val="2"/>
      <w:sz w:val="28"/>
      <w:szCs w:val="28"/>
    </w:rPr>
  </w:style>
  <w:style w:type="paragraph" w:customStyle="1" w:styleId="22">
    <w:name w:val="本模板"/>
    <w:basedOn w:val="1"/>
    <w:next w:val="1"/>
    <w:qFormat/>
    <w:uiPriority w:val="0"/>
    <w:pPr>
      <w:ind w:firstLine="0" w:firstLineChars="0"/>
      <w:jc w:val="center"/>
    </w:pPr>
  </w:style>
  <w:style w:type="paragraph" w:customStyle="1" w:styleId="23">
    <w:name w:val="由"/>
    <w:basedOn w:val="1"/>
    <w:qFormat/>
    <w:uiPriority w:val="0"/>
    <w:pPr>
      <w:ind w:firstLine="0" w:firstLineChars="0"/>
      <w:jc w:val="center"/>
    </w:pPr>
  </w:style>
  <w:style w:type="paragraph" w:customStyle="1" w:styleId="24">
    <w:name w:val="昭元绩效"/>
    <w:basedOn w:val="1"/>
    <w:qFormat/>
    <w:uiPriority w:val="0"/>
    <w:pPr>
      <w:spacing w:line="360" w:lineRule="auto"/>
      <w:ind w:firstLine="0" w:firstLineChars="0"/>
      <w:jc w:val="center"/>
    </w:pPr>
    <w:rPr>
      <w:rFonts w:eastAsia="宋体"/>
      <w:b/>
      <w:bCs/>
      <w:sz w:val="44"/>
      <w:szCs w:val="44"/>
    </w:rPr>
  </w:style>
  <w:style w:type="paragraph" w:customStyle="1" w:styleId="25">
    <w:name w:val="提供"/>
    <w:basedOn w:val="1"/>
    <w:qFormat/>
    <w:uiPriority w:val="0"/>
    <w:pPr>
      <w:ind w:firstLine="0" w:firstLineChars="0"/>
      <w:jc w:val="center"/>
    </w:pPr>
  </w:style>
  <w:style w:type="paragraph" w:customStyle="1" w:styleId="26">
    <w:name w:val="版权所有"/>
    <w:basedOn w:val="1"/>
    <w:qFormat/>
    <w:uiPriority w:val="0"/>
    <w:pPr>
      <w:ind w:firstLine="0" w:firstLineChars="0"/>
      <w:jc w:val="center"/>
    </w:pPr>
  </w:style>
  <w:style w:type="paragraph" w:customStyle="1" w:styleId="27">
    <w:name w:val="电话15515993457"/>
    <w:basedOn w:val="1"/>
    <w:qFormat/>
    <w:uiPriority w:val="0"/>
    <w:pPr>
      <w:ind w:firstLine="0" w:firstLineChars="0"/>
      <w:jc w:val="center"/>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microsoft.com/office/2006/relationships/keyMapCustomizations" Target="customizations.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099D5DC-E1BF-468F-8212-19D77A8739EF}">
  <ds:schemaRefs/>
</ds:datastoreItem>
</file>

<file path=docProps/app.xml><?xml version="1.0" encoding="utf-8"?>
<Properties xmlns="http://schemas.openxmlformats.org/officeDocument/2006/extended-properties" xmlns:vt="http://schemas.openxmlformats.org/officeDocument/2006/docPropsVTypes">
  <Template>Normal.dotm</Template>
  <Manager>郭良雨</Manager>
  <Company>昭元绩效</Company>
  <Pages>12</Pages>
  <Words>3725</Words>
  <Characters>3879</Characters>
  <Lines>42</Lines>
  <Paragraphs>11</Paragraphs>
  <TotalTime>1</TotalTime>
  <ScaleCrop>false</ScaleCrop>
  <LinksUpToDate>false</LinksUpToDate>
  <CharactersWithSpaces>3908</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15515993457</cp:category>
  <dcterms:created xsi:type="dcterms:W3CDTF">2021-08-08T08:37:00Z</dcterms:created>
  <dc:creator>hnzyzd@163.com; 昭元绩效</dc:creator>
  <dc:description>昭元自评模板</dc:description>
  <cp:keywords>15515993457</cp:keywords>
  <cp:lastModifiedBy>Administrator</cp:lastModifiedBy>
  <dcterms:modified xsi:type="dcterms:W3CDTF">2022-09-06T02:07:03Z</dcterms:modified>
  <dc:subject>15515993457</dc:subject>
  <dc:title>昭元自评模板</dc:title>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8040E5319DF8438F9AF461AC7598704D</vt:lpwstr>
  </property>
</Properties>
</file>