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rPr>
          <w:highlight w:val="none"/>
        </w:rPr>
      </w:pPr>
      <w:bookmarkStart w:id="0" w:name="_Toc11908"/>
    </w:p>
    <w:p>
      <w:pPr>
        <w:ind w:firstLine="0" w:firstLineChars="0"/>
        <w:jc w:val="center"/>
        <w:rPr>
          <w:rFonts w:ascii="宋体" w:hAnsi="宋体" w:eastAsia="宋体"/>
          <w:b/>
          <w:sz w:val="52"/>
          <w:szCs w:val="52"/>
          <w:highlight w:val="none"/>
        </w:rPr>
      </w:pPr>
    </w:p>
    <w:p>
      <w:pPr>
        <w:pStyle w:val="24"/>
        <w:rPr>
          <w:rFonts w:ascii="宋体" w:hAnsi="宋体" w:cs="宋体"/>
          <w:sz w:val="52"/>
          <w:szCs w:val="52"/>
          <w:highlight w:val="none"/>
        </w:rPr>
      </w:pPr>
      <w:r>
        <w:rPr>
          <w:rFonts w:hint="eastAsia" w:ascii="宋体" w:hAnsi="宋体" w:eastAsia="宋体" w:cs="宋体"/>
          <w:i w:val="0"/>
          <w:iCs w:val="0"/>
          <w:caps w:val="0"/>
          <w:color w:val="3D3D3D"/>
          <w:spacing w:val="0"/>
          <w:sz w:val="52"/>
          <w:szCs w:val="52"/>
          <w:highlight w:val="none"/>
          <w:shd w:val="clear" w:fill="FFFFFF"/>
          <w:lang w:val="en-US" w:eastAsia="zh-CN"/>
        </w:rPr>
        <w:t>平安太康栏目</w:t>
      </w:r>
      <w:r>
        <w:rPr>
          <w:rFonts w:hint="eastAsia" w:ascii="宋体" w:hAnsi="宋体" w:cs="宋体"/>
          <w:sz w:val="52"/>
          <w:szCs w:val="52"/>
          <w:highlight w:val="none"/>
        </w:rPr>
        <w:t>项目</w:t>
      </w:r>
    </w:p>
    <w:p>
      <w:pPr>
        <w:pStyle w:val="24"/>
        <w:rPr>
          <w:rFonts w:ascii="宋体" w:hAnsi="宋体" w:cs="宋体"/>
          <w:highlight w:val="none"/>
        </w:rPr>
      </w:pPr>
      <w:r>
        <w:rPr>
          <w:rFonts w:hint="eastAsia" w:ascii="宋体" w:hAnsi="宋体" w:cs="宋体"/>
          <w:sz w:val="52"/>
          <w:szCs w:val="52"/>
          <w:highlight w:val="none"/>
        </w:rPr>
        <w:t>支出绩效自评总结报告</w:t>
      </w:r>
    </w:p>
    <w:p>
      <w:pPr>
        <w:ind w:firstLine="0" w:firstLineChars="0"/>
        <w:jc w:val="center"/>
        <w:rPr>
          <w:rFonts w:ascii="宋体" w:hAnsi="宋体" w:eastAsia="宋体"/>
          <w:b/>
          <w:sz w:val="52"/>
          <w:szCs w:val="52"/>
          <w:highlight w:val="none"/>
        </w:rPr>
      </w:pPr>
    </w:p>
    <w:p>
      <w:pPr>
        <w:ind w:firstLine="0" w:firstLineChars="0"/>
        <w:jc w:val="center"/>
        <w:rPr>
          <w:highlight w:val="none"/>
        </w:rPr>
      </w:pPr>
    </w:p>
    <w:p>
      <w:pPr>
        <w:ind w:firstLine="0" w:firstLineChars="0"/>
        <w:jc w:val="center"/>
        <w:rPr>
          <w:rFonts w:ascii="宋体" w:hAnsi="宋体" w:eastAsia="宋体"/>
          <w:b/>
          <w:sz w:val="52"/>
          <w:szCs w:val="52"/>
          <w:highlight w:val="none"/>
        </w:rPr>
      </w:pPr>
    </w:p>
    <w:p>
      <w:pPr>
        <w:pStyle w:val="26"/>
        <w:rPr>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太康县融媒体中心</w:t>
      </w:r>
    </w:p>
    <w:p>
      <w:pPr>
        <w:ind w:firstLine="0" w:firstLineChars="0"/>
        <w:jc w:val="center"/>
        <w:rPr>
          <w:highlight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bCs w:val="0"/>
          <w:highlight w:val="none"/>
          <w:lang w:val="en-US" w:eastAsia="zh-CN"/>
        </w:rPr>
        <w:t>5</w:t>
      </w:r>
      <w:r>
        <w:rPr>
          <w:rFonts w:hint="eastAsia" w:ascii="仿宋" w:hAnsi="仿宋" w:eastAsia="仿宋" w:cs="仿宋"/>
          <w:b/>
          <w:bCs w:val="0"/>
          <w:sz w:val="32"/>
          <w:szCs w:val="32"/>
          <w:highlight w:val="none"/>
        </w:rPr>
        <w:t>月</w:t>
      </w:r>
      <w:r>
        <w:rPr>
          <w:rFonts w:hint="eastAsia" w:ascii="仿宋" w:hAnsi="仿宋" w:eastAsia="仿宋" w:cs="仿宋"/>
          <w:b/>
          <w:bCs w:val="0"/>
          <w:sz w:val="32"/>
          <w:szCs w:val="32"/>
          <w:highlight w:val="none"/>
          <w:lang w:val="en-US" w:eastAsia="zh-CN"/>
        </w:rPr>
        <w:t>10日</w:t>
      </w: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0"/>
        <w:tabs>
          <w:tab w:val="right" w:leader="dot" w:pos="8306"/>
          <w:tab w:val="clear" w:pos="8296"/>
        </w:tabs>
      </w:pPr>
      <w:r>
        <w:rPr>
          <w:highlight w:val="none"/>
        </w:rPr>
        <w:fldChar w:fldCharType="begin"/>
      </w:r>
      <w:r>
        <w:rPr>
          <w:highlight w:val="none"/>
        </w:rPr>
        <w:instrText xml:space="preserve">TOC \o "1-2" \h \u </w:instrText>
      </w:r>
      <w:r>
        <w:rPr>
          <w:highlight w:val="none"/>
        </w:rPr>
        <w:fldChar w:fldCharType="separate"/>
      </w:r>
      <w:r>
        <w:rPr>
          <w:highlight w:val="none"/>
        </w:rPr>
        <w:fldChar w:fldCharType="begin"/>
      </w:r>
      <w:r>
        <w:rPr>
          <w:highlight w:val="none"/>
        </w:rPr>
        <w:instrText xml:space="preserve"> HYPERLINK \l _Toc10950 </w:instrText>
      </w:r>
      <w:r>
        <w:rPr>
          <w:highlight w:val="none"/>
        </w:rPr>
        <w:fldChar w:fldCharType="separate"/>
      </w:r>
      <w:r>
        <w:rPr>
          <w:rFonts w:hint="eastAsia"/>
          <w:highlight w:val="none"/>
        </w:rPr>
        <w:t>一、项目基本情况</w:t>
      </w:r>
      <w:r>
        <w:tab/>
      </w:r>
      <w:r>
        <w:fldChar w:fldCharType="begin"/>
      </w:r>
      <w:r>
        <w:instrText xml:space="preserve"> PAGEREF _Toc10950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_Toc8385 </w:instrText>
      </w:r>
      <w:r>
        <w:rPr>
          <w:highlight w:val="none"/>
        </w:rPr>
        <w:fldChar w:fldCharType="separate"/>
      </w:r>
      <w:r>
        <w:rPr>
          <w:rFonts w:hint="eastAsia"/>
          <w:highlight w:val="none"/>
        </w:rPr>
        <w:t>（一）项目基本信息</w:t>
      </w:r>
      <w:r>
        <w:tab/>
      </w:r>
      <w:r>
        <w:fldChar w:fldCharType="begin"/>
      </w:r>
      <w:r>
        <w:instrText xml:space="preserve"> PAGEREF _Toc8385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_Toc9181 </w:instrText>
      </w:r>
      <w:r>
        <w:rPr>
          <w:highlight w:val="none"/>
        </w:rPr>
        <w:fldChar w:fldCharType="separate"/>
      </w:r>
      <w:r>
        <w:rPr>
          <w:rFonts w:hint="eastAsia"/>
          <w:highlight w:val="none"/>
        </w:rPr>
        <w:t>（二）项目支出情况</w:t>
      </w:r>
      <w:r>
        <w:tab/>
      </w:r>
      <w:r>
        <w:fldChar w:fldCharType="begin"/>
      </w:r>
      <w:r>
        <w:instrText xml:space="preserve"> PAGEREF _Toc9181 \h </w:instrText>
      </w:r>
      <w:r>
        <w:fldChar w:fldCharType="separate"/>
      </w:r>
      <w:r>
        <w:t>1</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_Toc27734 </w:instrText>
      </w:r>
      <w:r>
        <w:rPr>
          <w:highlight w:val="none"/>
        </w:rPr>
        <w:fldChar w:fldCharType="separate"/>
      </w:r>
      <w:r>
        <w:rPr>
          <w:rFonts w:hint="eastAsia"/>
          <w:highlight w:val="none"/>
        </w:rPr>
        <w:t>二、绩效自评工作开展情况</w:t>
      </w:r>
      <w:r>
        <w:tab/>
      </w:r>
      <w:r>
        <w:fldChar w:fldCharType="begin"/>
      </w:r>
      <w:r>
        <w:instrText xml:space="preserve"> PAGEREF _Toc27734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_Toc23218 </w:instrText>
      </w:r>
      <w:r>
        <w:rPr>
          <w:highlight w:val="none"/>
        </w:rPr>
        <w:fldChar w:fldCharType="separate"/>
      </w:r>
      <w:r>
        <w:rPr>
          <w:rFonts w:hint="eastAsia"/>
          <w:highlight w:val="none"/>
        </w:rPr>
        <w:t>（一）绩效自评价目的和意义</w:t>
      </w:r>
      <w:r>
        <w:tab/>
      </w:r>
      <w:r>
        <w:fldChar w:fldCharType="begin"/>
      </w:r>
      <w:r>
        <w:instrText xml:space="preserve"> PAGEREF _Toc23218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_Toc16568 </w:instrText>
      </w:r>
      <w:r>
        <w:rPr>
          <w:highlight w:val="none"/>
        </w:rPr>
        <w:fldChar w:fldCharType="separate"/>
      </w:r>
      <w:r>
        <w:rPr>
          <w:rFonts w:hint="eastAsia"/>
          <w:highlight w:val="none"/>
        </w:rPr>
        <w:t>（二）绩效自评价对象和范围</w:t>
      </w:r>
      <w:r>
        <w:tab/>
      </w:r>
      <w:r>
        <w:fldChar w:fldCharType="begin"/>
      </w:r>
      <w:r>
        <w:instrText xml:space="preserve"> PAGEREF _Toc16568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_Toc8711 </w:instrText>
      </w:r>
      <w:r>
        <w:rPr>
          <w:highlight w:val="none"/>
        </w:rPr>
        <w:fldChar w:fldCharType="separate"/>
      </w:r>
      <w:r>
        <w:rPr>
          <w:rFonts w:hint="eastAsia"/>
          <w:highlight w:val="none"/>
        </w:rPr>
        <w:t>（三）绩效评价的依据</w:t>
      </w:r>
      <w:r>
        <w:tab/>
      </w:r>
      <w:r>
        <w:fldChar w:fldCharType="begin"/>
      </w:r>
      <w:r>
        <w:instrText xml:space="preserve"> PAGEREF _Toc8711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_Toc4069 </w:instrText>
      </w:r>
      <w:r>
        <w:rPr>
          <w:highlight w:val="none"/>
        </w:rPr>
        <w:fldChar w:fldCharType="separate"/>
      </w:r>
      <w:r>
        <w:rPr>
          <w:rFonts w:hint="eastAsia"/>
          <w:highlight w:val="none"/>
        </w:rPr>
        <w:t>（四）评分方法</w:t>
      </w:r>
      <w:r>
        <w:tab/>
      </w:r>
      <w:r>
        <w:fldChar w:fldCharType="begin"/>
      </w:r>
      <w:r>
        <w:instrText xml:space="preserve"> PAGEREF _Toc4069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_Toc27935 </w:instrText>
      </w:r>
      <w:r>
        <w:rPr>
          <w:highlight w:val="none"/>
        </w:rPr>
        <w:fldChar w:fldCharType="separate"/>
      </w:r>
      <w:r>
        <w:rPr>
          <w:rFonts w:hint="eastAsia"/>
          <w:highlight w:val="none"/>
        </w:rPr>
        <w:t>（五）绩效自评工作组织</w:t>
      </w:r>
      <w:r>
        <w:tab/>
      </w:r>
      <w:r>
        <w:fldChar w:fldCharType="begin"/>
      </w:r>
      <w:r>
        <w:instrText xml:space="preserve"> PAGEREF _Toc27935 \h </w:instrText>
      </w:r>
      <w:r>
        <w:fldChar w:fldCharType="separate"/>
      </w:r>
      <w:r>
        <w:t>3</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_Toc3173 </w:instrText>
      </w:r>
      <w:r>
        <w:rPr>
          <w:highlight w:val="none"/>
        </w:rPr>
        <w:fldChar w:fldCharType="separate"/>
      </w:r>
      <w:r>
        <w:rPr>
          <w:rFonts w:hint="eastAsia"/>
          <w:highlight w:val="none"/>
        </w:rPr>
        <w:t>三、绩效自评结果及分析</w:t>
      </w:r>
      <w:r>
        <w:tab/>
      </w:r>
      <w:r>
        <w:fldChar w:fldCharType="begin"/>
      </w:r>
      <w:r>
        <w:instrText xml:space="preserve"> PAGEREF _Toc3173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_Toc18280 </w:instrText>
      </w:r>
      <w:r>
        <w:rPr>
          <w:highlight w:val="none"/>
        </w:rPr>
        <w:fldChar w:fldCharType="separate"/>
      </w:r>
      <w:r>
        <w:rPr>
          <w:highlight w:val="none"/>
        </w:rPr>
        <w:t>（一）绩效自评价结果</w:t>
      </w:r>
      <w:r>
        <w:tab/>
      </w:r>
      <w:r>
        <w:fldChar w:fldCharType="begin"/>
      </w:r>
      <w:r>
        <w:instrText xml:space="preserve"> PAGEREF _Toc18280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_Toc21199 </w:instrText>
      </w:r>
      <w:r>
        <w:rPr>
          <w:highlight w:val="none"/>
        </w:rPr>
        <w:fldChar w:fldCharType="separate"/>
      </w:r>
      <w:r>
        <w:rPr>
          <w:rFonts w:hint="eastAsia"/>
          <w:highlight w:val="none"/>
        </w:rPr>
        <w:t>（二）自评指标分析</w:t>
      </w:r>
      <w:r>
        <w:tab/>
      </w:r>
      <w:r>
        <w:fldChar w:fldCharType="begin"/>
      </w:r>
      <w:r>
        <w:instrText xml:space="preserve"> PAGEREF _Toc21199 \h </w:instrText>
      </w:r>
      <w:r>
        <w:fldChar w:fldCharType="separate"/>
      </w:r>
      <w:r>
        <w:t>5</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_Toc2135 </w:instrText>
      </w:r>
      <w:r>
        <w:rPr>
          <w:highlight w:val="none"/>
        </w:rPr>
        <w:fldChar w:fldCharType="separate"/>
      </w:r>
      <w:r>
        <w:rPr>
          <w:rFonts w:hint="eastAsia"/>
          <w:highlight w:val="none"/>
        </w:rPr>
        <w:t>四、成果和问题</w:t>
      </w:r>
      <w:r>
        <w:tab/>
      </w:r>
      <w:r>
        <w:fldChar w:fldCharType="begin"/>
      </w:r>
      <w:r>
        <w:instrText xml:space="preserve"> PAGEREF _Toc2135 \h </w:instrText>
      </w:r>
      <w:r>
        <w:fldChar w:fldCharType="separate"/>
      </w:r>
      <w:r>
        <w:t>7</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_Toc20700 </w:instrText>
      </w:r>
      <w:r>
        <w:rPr>
          <w:highlight w:val="none"/>
        </w:rPr>
        <w:fldChar w:fldCharType="separate"/>
      </w:r>
      <w:r>
        <w:rPr>
          <w:rFonts w:hint="eastAsia"/>
          <w:highlight w:val="none"/>
        </w:rPr>
        <w:t>（一）项目实施的成果</w:t>
      </w:r>
      <w:r>
        <w:tab/>
      </w:r>
      <w:r>
        <w:fldChar w:fldCharType="begin"/>
      </w:r>
      <w:r>
        <w:instrText xml:space="preserve"> PAGEREF _Toc20700 \h </w:instrText>
      </w:r>
      <w:r>
        <w:fldChar w:fldCharType="separate"/>
      </w:r>
      <w:r>
        <w:t>7</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_Toc24272 </w:instrText>
      </w:r>
      <w:r>
        <w:rPr>
          <w:highlight w:val="none"/>
        </w:rPr>
        <w:fldChar w:fldCharType="separate"/>
      </w:r>
      <w:r>
        <w:rPr>
          <w:rFonts w:hint="eastAsia"/>
          <w:highlight w:val="none"/>
        </w:rPr>
        <w:t>（二）项目存在的问题</w:t>
      </w:r>
      <w:r>
        <w:tab/>
      </w:r>
      <w:r>
        <w:fldChar w:fldCharType="begin"/>
      </w:r>
      <w:r>
        <w:instrText xml:space="preserve"> PAGEREF _Toc24272 \h </w:instrText>
      </w:r>
      <w:r>
        <w:fldChar w:fldCharType="separate"/>
      </w:r>
      <w:r>
        <w:t>7</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_Toc10390 </w:instrText>
      </w:r>
      <w:r>
        <w:rPr>
          <w:highlight w:val="none"/>
        </w:rPr>
        <w:fldChar w:fldCharType="separate"/>
      </w:r>
      <w:r>
        <w:rPr>
          <w:rFonts w:hint="eastAsia"/>
          <w:highlight w:val="none"/>
        </w:rPr>
        <w:t>五、建议</w:t>
      </w:r>
      <w:r>
        <w:tab/>
      </w:r>
      <w:r>
        <w:fldChar w:fldCharType="begin"/>
      </w:r>
      <w:r>
        <w:instrText xml:space="preserve"> PAGEREF _Toc10390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_Toc12752 </w:instrText>
      </w:r>
      <w:r>
        <w:rPr>
          <w:highlight w:val="none"/>
        </w:rPr>
        <w:fldChar w:fldCharType="separate"/>
      </w:r>
      <w:r>
        <w:rPr>
          <w:rFonts w:hint="eastAsia"/>
          <w:highlight w:val="none"/>
        </w:rPr>
        <w:t>（一）强化预算绩效管理意识，提升项目产出效益</w:t>
      </w:r>
      <w:r>
        <w:tab/>
      </w:r>
      <w:r>
        <w:fldChar w:fldCharType="begin"/>
      </w:r>
      <w:r>
        <w:instrText xml:space="preserve"> PAGEREF _Toc12752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_Toc24114 </w:instrText>
      </w:r>
      <w:r>
        <w:rPr>
          <w:highlight w:val="none"/>
        </w:rPr>
        <w:fldChar w:fldCharType="separate"/>
      </w:r>
      <w:r>
        <w:rPr>
          <w:rFonts w:hint="eastAsia"/>
          <w:highlight w:val="none"/>
        </w:rPr>
        <w:t>（二）加强学习培训，进一步提高绩效管理水平</w:t>
      </w:r>
      <w:r>
        <w:tab/>
      </w:r>
      <w:r>
        <w:fldChar w:fldCharType="begin"/>
      </w:r>
      <w:r>
        <w:instrText xml:space="preserve"> PAGEREF _Toc24114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_Toc19919 </w:instrText>
      </w:r>
      <w:r>
        <w:rPr>
          <w:highlight w:val="none"/>
        </w:rPr>
        <w:fldChar w:fldCharType="separate"/>
      </w:r>
      <w:r>
        <w:rPr>
          <w:rFonts w:hint="eastAsia"/>
          <w:highlight w:val="none"/>
        </w:rPr>
        <w:t>六、其他需要说明的问题</w:t>
      </w:r>
      <w:r>
        <w:tab/>
      </w:r>
      <w:r>
        <w:fldChar w:fldCharType="begin"/>
      </w:r>
      <w:r>
        <w:instrText xml:space="preserve"> PAGEREF _Toc19919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_Toc31194 </w:instrText>
      </w:r>
      <w:r>
        <w:rPr>
          <w:highlight w:val="none"/>
        </w:rPr>
        <w:fldChar w:fldCharType="separate"/>
      </w:r>
      <w:r>
        <w:rPr>
          <w:rFonts w:hint="eastAsia"/>
          <w:highlight w:val="none"/>
        </w:rPr>
        <w:t>七、附件</w:t>
      </w:r>
      <w:r>
        <w:tab/>
      </w:r>
      <w:r>
        <w:fldChar w:fldCharType="begin"/>
      </w:r>
      <w:r>
        <w:instrText xml:space="preserve"> PAGEREF _Toc31194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_Toc14723 </w:instrText>
      </w:r>
      <w:r>
        <w:rPr>
          <w:highlight w:val="none"/>
        </w:rPr>
        <w:fldChar w:fldCharType="separate"/>
      </w:r>
      <w:r>
        <w:rPr>
          <w:rFonts w:hint="eastAsia"/>
          <w:highlight w:val="none"/>
        </w:rPr>
        <w:t>附件一：项目绩效自评表</w:t>
      </w:r>
      <w:r>
        <w:tab/>
      </w:r>
      <w:r>
        <w:fldChar w:fldCharType="begin"/>
      </w:r>
      <w:r>
        <w:instrText xml:space="preserve"> PAGEREF _Toc14723 \h </w:instrText>
      </w:r>
      <w:r>
        <w:fldChar w:fldCharType="separate"/>
      </w:r>
      <w:r>
        <w:t>9</w:t>
      </w:r>
      <w:r>
        <w:fldChar w:fldCharType="end"/>
      </w:r>
      <w:r>
        <w:rPr>
          <w:highlight w:val="none"/>
        </w:rPr>
        <w:fldChar w:fldCharType="end"/>
      </w:r>
    </w:p>
    <w:p>
      <w:pPr>
        <w:ind w:firstLine="640"/>
        <w:rPr>
          <w:highlight w:val="none"/>
        </w:rPr>
        <w:sectPr>
          <w:footerReference r:id="rId5" w:type="default"/>
          <w:pgSz w:w="11906" w:h="16838"/>
          <w:pgMar w:top="1440" w:right="1800" w:bottom="1440" w:left="1800" w:header="851" w:footer="737" w:gutter="0"/>
          <w:pgNumType w:fmt="decimal" w:start="1"/>
          <w:cols w:space="425" w:num="1"/>
          <w:docGrid w:type="lines" w:linePitch="312" w:charSpace="0"/>
        </w:sectPr>
      </w:pPr>
      <w:r>
        <w:rPr>
          <w:highlight w:val="none"/>
        </w:rPr>
        <w:fldChar w:fldCharType="end"/>
      </w:r>
    </w:p>
    <w:p>
      <w:pPr>
        <w:pStyle w:val="2"/>
        <w:rPr>
          <w:highlight w:val="none"/>
        </w:rPr>
      </w:pPr>
      <w:bookmarkStart w:id="1" w:name="_Toc79333430"/>
      <w:bookmarkStart w:id="2" w:name="_Toc10950"/>
      <w:r>
        <w:rPr>
          <w:rFonts w:hint="eastAsia"/>
          <w:highlight w:val="none"/>
        </w:rPr>
        <w:t>一、项目基本情况</w:t>
      </w:r>
      <w:bookmarkEnd w:id="0"/>
      <w:bookmarkEnd w:id="1"/>
      <w:bookmarkEnd w:id="2"/>
    </w:p>
    <w:p>
      <w:pPr>
        <w:pStyle w:val="3"/>
        <w:rPr>
          <w:highlight w:val="none"/>
        </w:rPr>
      </w:pPr>
      <w:bookmarkStart w:id="3" w:name="_Toc79333431"/>
      <w:bookmarkStart w:id="4" w:name="_Toc8110"/>
      <w:bookmarkStart w:id="5" w:name="_Toc8385"/>
      <w:r>
        <w:rPr>
          <w:rFonts w:hint="eastAsia"/>
          <w:highlight w:val="none"/>
        </w:rPr>
        <w:t>（一）项目基本信息</w:t>
      </w:r>
      <w:bookmarkEnd w:id="3"/>
      <w:bookmarkEnd w:id="4"/>
      <w:bookmarkEnd w:id="5"/>
    </w:p>
    <w:p>
      <w:pPr>
        <w:pStyle w:val="4"/>
        <w:ind w:firstLine="643"/>
        <w:rPr>
          <w:color w:val="FF0000"/>
          <w:highlight w:val="none"/>
        </w:rPr>
      </w:pPr>
      <w:bookmarkStart w:id="6" w:name="_Toc79333432"/>
      <w:r>
        <w:rPr>
          <w:rFonts w:hint="eastAsia"/>
          <w:highlight w:val="none"/>
        </w:rPr>
        <w:t>1、项目背景</w:t>
      </w:r>
      <w:bookmarkEnd w:id="6"/>
    </w:p>
    <w:p>
      <w:pPr>
        <w:ind w:firstLine="64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太康县融媒体中心是党的新闻舆论工作的重要阵地，是地方和政府的重要执政资源，是引导群众、服务群众的重要平台。只有及时、准确的进行新闻舆论的报道，才能更好地彰显太康经济社会发展成效及社会进步。</w:t>
      </w:r>
    </w:p>
    <w:p>
      <w:pPr>
        <w:pStyle w:val="4"/>
        <w:ind w:firstLine="643"/>
        <w:rPr>
          <w:b/>
          <w:bCs/>
          <w:highlight w:val="none"/>
        </w:rPr>
      </w:pPr>
      <w:bookmarkStart w:id="7" w:name="_Toc79333433"/>
      <w:r>
        <w:rPr>
          <w:rFonts w:hint="eastAsia"/>
          <w:highlight w:val="none"/>
        </w:rPr>
        <w:t>2、项目实施内容</w:t>
      </w:r>
      <w:bookmarkEnd w:id="7"/>
    </w:p>
    <w:p>
      <w:pPr>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本次项目实施内容</w:t>
      </w:r>
      <w:bookmarkStart w:id="8" w:name="_Toc14372"/>
      <w:r>
        <w:rPr>
          <w:rFonts w:hint="eastAsia" w:ascii="仿宋" w:hAnsi="仿宋" w:eastAsia="仿宋" w:cs="仿宋"/>
          <w:i w:val="0"/>
          <w:iCs w:val="0"/>
          <w:caps w:val="0"/>
          <w:color w:val="3D3D3D"/>
          <w:spacing w:val="0"/>
          <w:sz w:val="32"/>
          <w:szCs w:val="32"/>
          <w:highlight w:val="none"/>
          <w:shd w:val="clear" w:fill="FFFFFF"/>
          <w:lang w:val="en-US" w:eastAsia="zh-CN"/>
        </w:rPr>
        <w:t>用于平安太康的拍摄、制作、宣传等支出</w:t>
      </w:r>
      <w:r>
        <w:rPr>
          <w:rFonts w:hint="eastAsia" w:ascii="仿宋" w:hAnsi="仿宋" w:eastAsia="仿宋" w:cs="仿宋"/>
          <w:sz w:val="32"/>
          <w:szCs w:val="32"/>
          <w:highlight w:val="none"/>
        </w:rPr>
        <w:t>。</w:t>
      </w:r>
    </w:p>
    <w:p>
      <w:pPr>
        <w:pStyle w:val="3"/>
        <w:rPr>
          <w:highlight w:val="none"/>
        </w:rPr>
      </w:pPr>
      <w:bookmarkStart w:id="9" w:name="_Toc79333434"/>
      <w:bookmarkStart w:id="10" w:name="_Toc9181"/>
      <w:r>
        <w:rPr>
          <w:rFonts w:hint="eastAsia"/>
          <w:highlight w:val="none"/>
        </w:rPr>
        <w:t>（二）项目支出情况</w:t>
      </w:r>
      <w:bookmarkEnd w:id="8"/>
      <w:bookmarkEnd w:id="9"/>
      <w:bookmarkEnd w:id="10"/>
    </w:p>
    <w:p>
      <w:pPr>
        <w:pStyle w:val="4"/>
        <w:ind w:firstLine="643"/>
        <w:rPr>
          <w:highlight w:val="none"/>
        </w:rPr>
      </w:pPr>
      <w:bookmarkStart w:id="11" w:name="_Toc79333435"/>
      <w:bookmarkStart w:id="12" w:name="_Toc28118"/>
      <w:r>
        <w:rPr>
          <w:rFonts w:hint="eastAsia"/>
          <w:highlight w:val="none"/>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20</w:t>
      </w:r>
      <w:r>
        <w:rPr>
          <w:rFonts w:hint="eastAsia"/>
          <w:highlight w:val="none"/>
        </w:rPr>
        <w:t>万元，当年实际执行</w:t>
      </w:r>
      <w:r>
        <w:rPr>
          <w:rFonts w:hint="eastAsia"/>
          <w:highlight w:val="none"/>
          <w:lang w:val="en-US" w:eastAsia="zh-CN"/>
        </w:rPr>
        <w:t>20</w:t>
      </w:r>
      <w:r>
        <w:rPr>
          <w:rFonts w:hint="eastAsia"/>
          <w:highlight w:val="none"/>
        </w:rPr>
        <w:t>万元。</w:t>
      </w:r>
    </w:p>
    <w:p>
      <w:pPr>
        <w:pStyle w:val="4"/>
        <w:ind w:firstLine="643"/>
        <w:rPr>
          <w:highlight w:val="none"/>
        </w:rPr>
      </w:pPr>
      <w:bookmarkStart w:id="13" w:name="_Toc18098"/>
      <w:bookmarkStart w:id="14" w:name="_Toc79333436"/>
      <w:r>
        <w:rPr>
          <w:rFonts w:hint="eastAsia"/>
          <w:highlight w:val="none"/>
        </w:rPr>
        <w:t>2、项目预算执行情况</w:t>
      </w:r>
      <w:bookmarkEnd w:id="13"/>
      <w:bookmarkEnd w:id="14"/>
    </w:p>
    <w:p>
      <w:pPr>
        <w:ind w:firstLine="640"/>
        <w:jc w:val="left"/>
        <w:rPr>
          <w:highlight w:val="none"/>
        </w:rPr>
      </w:pPr>
      <w:r>
        <w:rPr>
          <w:rFonts w:hint="eastAsia"/>
          <w:highlight w:val="none"/>
        </w:rPr>
        <w:t>项目实际支出</w:t>
      </w:r>
      <w:r>
        <w:rPr>
          <w:rFonts w:hint="eastAsia"/>
          <w:highlight w:val="none"/>
          <w:lang w:val="en-US" w:eastAsia="zh-CN"/>
        </w:rPr>
        <w:t>20</w:t>
      </w:r>
      <w:r>
        <w:rPr>
          <w:rFonts w:hint="eastAsia"/>
          <w:highlight w:val="none"/>
        </w:rPr>
        <w:t>万元。</w:t>
      </w:r>
    </w:p>
    <w:p>
      <w:pPr>
        <w:pStyle w:val="2"/>
        <w:rPr>
          <w:highlight w:val="none"/>
        </w:rPr>
      </w:pPr>
      <w:bookmarkStart w:id="15" w:name="_Toc10420"/>
      <w:bookmarkStart w:id="16" w:name="_Toc75871361"/>
      <w:bookmarkStart w:id="17" w:name="_Toc27734"/>
      <w:bookmarkStart w:id="18" w:name="_Toc79333437"/>
      <w:r>
        <w:rPr>
          <w:rFonts w:hint="eastAsia"/>
          <w:highlight w:val="none"/>
        </w:rPr>
        <w:t>二、绩效自评工作开展情况</w:t>
      </w:r>
      <w:bookmarkEnd w:id="15"/>
      <w:bookmarkEnd w:id="16"/>
      <w:bookmarkEnd w:id="17"/>
      <w:bookmarkEnd w:id="18"/>
    </w:p>
    <w:p>
      <w:pPr>
        <w:pStyle w:val="3"/>
        <w:rPr>
          <w:highlight w:val="none"/>
        </w:rPr>
      </w:pPr>
      <w:bookmarkStart w:id="19" w:name="_Toc79333438"/>
      <w:bookmarkStart w:id="20" w:name="_Toc75871362"/>
      <w:bookmarkStart w:id="21" w:name="_Toc23218"/>
      <w:r>
        <w:rPr>
          <w:rFonts w:hint="eastAsia"/>
          <w:highlight w:val="none"/>
        </w:rPr>
        <w:t>（一）绩效自评价目的和意义</w:t>
      </w:r>
      <w:bookmarkEnd w:id="19"/>
      <w:bookmarkEnd w:id="20"/>
      <w:bookmarkEnd w:id="21"/>
    </w:p>
    <w:p>
      <w:pPr>
        <w:ind w:firstLine="640"/>
        <w:rPr>
          <w:highlight w:val="none"/>
        </w:rPr>
      </w:pPr>
      <w:r>
        <w:rPr>
          <w:rFonts w:hint="eastAsia"/>
          <w:highlight w:val="none"/>
        </w:rPr>
        <w:t>预算支出绩效自评价是预算单位运用科学、规范的评价方法，对照统一的评价标准，对预算支出的效率和效益进行的自我衡量和综合评价。</w:t>
      </w:r>
    </w:p>
    <w:p>
      <w:pPr>
        <w:ind w:firstLine="640"/>
        <w:rPr>
          <w:highlight w:val="none"/>
        </w:rPr>
      </w:pPr>
      <w:r>
        <w:rPr>
          <w:rFonts w:hint="eastAsia"/>
          <w:highlight w:val="none"/>
        </w:rPr>
        <w:t>预算支出绩效自评价的目的是：通过对绩效目标的综合考评，合理配置资源，优化支出结构，规范预算资金分配，提高财政资源配置效率和使用效益。</w:t>
      </w:r>
    </w:p>
    <w:p>
      <w:pPr>
        <w:ind w:firstLine="640"/>
        <w:rPr>
          <w:highlight w:val="none"/>
        </w:rPr>
      </w:pPr>
      <w:r>
        <w:rPr>
          <w:rFonts w:hint="eastAsia"/>
          <w:highlight w:val="none"/>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rPr>
          <w:highlight w:val="none"/>
        </w:rPr>
      </w:pPr>
      <w:bookmarkStart w:id="22" w:name="_Toc75871363"/>
      <w:bookmarkStart w:id="23" w:name="_Toc3060"/>
      <w:bookmarkStart w:id="24" w:name="_Toc16568"/>
      <w:bookmarkStart w:id="25" w:name="_Toc79333439"/>
      <w:r>
        <w:rPr>
          <w:rFonts w:hint="eastAsia"/>
          <w:highlight w:val="none"/>
        </w:rPr>
        <w:t>（二）绩效自评价对象和范围</w:t>
      </w:r>
      <w:bookmarkEnd w:id="22"/>
      <w:bookmarkEnd w:id="23"/>
      <w:bookmarkEnd w:id="24"/>
      <w:bookmarkEnd w:id="25"/>
    </w:p>
    <w:p>
      <w:pPr>
        <w:ind w:firstLine="640"/>
        <w:rPr>
          <w:highlight w:val="none"/>
        </w:rPr>
      </w:pPr>
      <w:r>
        <w:rPr>
          <w:rFonts w:hint="eastAsia" w:ascii="仿宋" w:hAnsi="仿宋" w:eastAsia="仿宋" w:cs="仿宋"/>
          <w:sz w:val="32"/>
          <w:szCs w:val="32"/>
          <w:highlight w:val="none"/>
        </w:rPr>
        <w:t>本次绩效自评价对象为2021年</w:t>
      </w:r>
      <w:r>
        <w:rPr>
          <w:rFonts w:hint="eastAsia" w:ascii="仿宋" w:hAnsi="仿宋" w:eastAsia="仿宋" w:cs="仿宋"/>
          <w:i w:val="0"/>
          <w:iCs w:val="0"/>
          <w:caps w:val="0"/>
          <w:color w:val="3D3D3D"/>
          <w:spacing w:val="0"/>
          <w:sz w:val="32"/>
          <w:szCs w:val="32"/>
          <w:highlight w:val="none"/>
          <w:shd w:val="clear" w:fill="FFFFFF"/>
          <w:lang w:val="en-US" w:eastAsia="zh-CN"/>
        </w:rPr>
        <w:t>平安太康栏目</w:t>
      </w:r>
      <w:r>
        <w:rPr>
          <w:rFonts w:hint="eastAsia" w:ascii="仿宋" w:hAnsi="仿宋" w:eastAsia="仿宋" w:cs="仿宋"/>
          <w:sz w:val="32"/>
          <w:szCs w:val="32"/>
          <w:highlight w:val="none"/>
        </w:rPr>
        <w:t>专项资金，评价范围为涉及该项目管理及其预算资金</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万元的使用情</w:t>
      </w:r>
      <w:r>
        <w:rPr>
          <w:rFonts w:hint="eastAsia"/>
          <w:highlight w:val="none"/>
        </w:rPr>
        <w:t>况。</w:t>
      </w:r>
    </w:p>
    <w:p>
      <w:pPr>
        <w:pStyle w:val="3"/>
        <w:rPr>
          <w:highlight w:val="none"/>
        </w:rPr>
      </w:pPr>
      <w:bookmarkStart w:id="26" w:name="_Toc8711"/>
      <w:bookmarkStart w:id="27" w:name="_Toc79333440"/>
      <w:bookmarkStart w:id="28" w:name="_Toc8160"/>
      <w:bookmarkStart w:id="29" w:name="_Toc75871364"/>
      <w:r>
        <w:rPr>
          <w:rFonts w:hint="eastAsia"/>
          <w:highlight w:val="none"/>
        </w:rPr>
        <w:t>（三）绩效评价的依据</w:t>
      </w:r>
      <w:bookmarkEnd w:id="26"/>
      <w:bookmarkEnd w:id="27"/>
      <w:bookmarkEnd w:id="28"/>
      <w:bookmarkEnd w:id="29"/>
    </w:p>
    <w:p>
      <w:pPr>
        <w:numPr>
          <w:ilvl w:val="0"/>
          <w:numId w:val="1"/>
        </w:numPr>
        <w:ind w:firstLine="640"/>
        <w:rPr>
          <w:highlight w:val="none"/>
        </w:rPr>
      </w:pPr>
      <w:r>
        <w:rPr>
          <w:rFonts w:hint="eastAsia"/>
          <w:highlight w:val="none"/>
        </w:rPr>
        <w:t>中共中央、国务院《关于全面实施预算绩效管理的意见》（中发〔2018〕34号）；</w:t>
      </w:r>
    </w:p>
    <w:p>
      <w:pPr>
        <w:numPr>
          <w:ilvl w:val="0"/>
          <w:numId w:val="1"/>
        </w:numPr>
        <w:ind w:firstLine="640"/>
        <w:rPr>
          <w:highlight w:val="none"/>
        </w:rPr>
      </w:pPr>
      <w:r>
        <w:rPr>
          <w:rFonts w:hint="eastAsia"/>
          <w:highlight w:val="none"/>
        </w:rPr>
        <w:t>《项目支出绩效评价管理办法》（财预〔2020〕10号）；</w:t>
      </w:r>
    </w:p>
    <w:p>
      <w:pPr>
        <w:numPr>
          <w:ilvl w:val="0"/>
          <w:numId w:val="1"/>
        </w:numPr>
        <w:ind w:firstLine="640"/>
        <w:rPr>
          <w:highlight w:val="none"/>
        </w:rPr>
      </w:pPr>
      <w:r>
        <w:rPr>
          <w:rFonts w:hint="eastAsia"/>
          <w:highlight w:val="none"/>
        </w:rPr>
        <w:t>《预算绩效评价共性指标体系框架》（财预〔2013〕53号）；</w:t>
      </w:r>
    </w:p>
    <w:p>
      <w:pPr>
        <w:numPr>
          <w:ilvl w:val="0"/>
          <w:numId w:val="1"/>
        </w:numPr>
        <w:ind w:firstLine="640"/>
        <w:rPr>
          <w:highlight w:val="none"/>
        </w:rPr>
      </w:pPr>
      <w:r>
        <w:rPr>
          <w:rFonts w:hint="eastAsia"/>
          <w:highlight w:val="none"/>
        </w:rPr>
        <w:t>《中共河南省委 河南省人民政府关于全面实施预算绩效管理的实施意见》（豫发〔2019〕10号）；</w:t>
      </w:r>
    </w:p>
    <w:p>
      <w:pPr>
        <w:numPr>
          <w:ilvl w:val="0"/>
          <w:numId w:val="1"/>
        </w:numPr>
        <w:ind w:firstLine="640"/>
        <w:rPr>
          <w:highlight w:val="none"/>
        </w:rPr>
      </w:pPr>
      <w:r>
        <w:rPr>
          <w:rFonts w:hint="eastAsia"/>
          <w:highlight w:val="none"/>
        </w:rPr>
        <w:t>河南省财政厅关于印发《河南省省级预算项目支出绩效评价管理办法》的通知（豫财效〔2020〕10号）；</w:t>
      </w:r>
    </w:p>
    <w:p>
      <w:pPr>
        <w:pStyle w:val="3"/>
        <w:rPr>
          <w:highlight w:val="none"/>
        </w:rPr>
      </w:pPr>
      <w:bookmarkStart w:id="30" w:name="_Toc13521"/>
      <w:bookmarkStart w:id="31" w:name="_Toc75871365"/>
      <w:bookmarkStart w:id="32" w:name="_Toc4069"/>
      <w:bookmarkStart w:id="33" w:name="_Toc79333441"/>
      <w:r>
        <w:rPr>
          <w:rFonts w:hint="eastAsia"/>
          <w:highlight w:val="none"/>
        </w:rPr>
        <w:t>（四）评分方法</w:t>
      </w:r>
      <w:bookmarkEnd w:id="30"/>
      <w:bookmarkEnd w:id="31"/>
      <w:bookmarkEnd w:id="32"/>
      <w:bookmarkEnd w:id="33"/>
    </w:p>
    <w:p>
      <w:pPr>
        <w:ind w:firstLine="640"/>
        <w:rPr>
          <w:highlight w:val="none"/>
        </w:rPr>
      </w:pPr>
      <w:bookmarkStart w:id="34" w:name="_Toc27533"/>
      <w:r>
        <w:rPr>
          <w:rFonts w:hint="eastAsia"/>
          <w:highlight w:val="none"/>
        </w:rPr>
        <w:t>根据财政部《项目支出绩效评价管理办法》（财预〔2020〕10号）第十六条的相关要求：</w:t>
      </w:r>
    </w:p>
    <w:p>
      <w:pPr>
        <w:ind w:firstLine="640"/>
        <w:rPr>
          <w:highlight w:val="none"/>
        </w:rPr>
      </w:pPr>
      <w:r>
        <w:rPr>
          <w:rFonts w:hint="eastAsia"/>
          <w:highlight w:val="none"/>
        </w:rPr>
        <w:t>单位自评采用定量与定性评价相结合的比较法，总分由各项指标得分汇总形成。</w:t>
      </w:r>
    </w:p>
    <w:p>
      <w:pPr>
        <w:ind w:firstLine="640"/>
        <w:rPr>
          <w:highlight w:val="none"/>
        </w:rPr>
      </w:pPr>
      <w:r>
        <w:rPr>
          <w:rFonts w:hint="eastAsia"/>
          <w:highlight w:val="none"/>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rPr>
          <w:highlight w:val="none"/>
        </w:rPr>
      </w:pPr>
      <w:r>
        <w:rPr>
          <w:rFonts w:hint="eastAsia"/>
          <w:highlight w:val="none"/>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rPr>
          <w:highlight w:val="none"/>
        </w:rPr>
      </w:pPr>
      <w:r>
        <w:rPr>
          <w:highlight w:val="none"/>
        </w:rPr>
        <w:t>评分表满分为100分，</w:t>
      </w:r>
      <w:r>
        <w:rPr>
          <w:rFonts w:hint="eastAsia"/>
          <w:highlight w:val="none"/>
        </w:rPr>
        <w:t>一</w:t>
      </w:r>
      <w:r>
        <w:rPr>
          <w:highlight w:val="none"/>
        </w:rP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rPr>
          <w:highlight w:val="none"/>
        </w:rPr>
      </w:pPr>
      <w:r>
        <w:rPr>
          <w:rFonts w:hint="eastAsia"/>
          <w:highlight w:val="none"/>
        </w:rPr>
        <w:t>综合各级政府绩效评价相关政策，按照政策相关要求，根据指标的重要程度确定各项三级指标的权重分值。</w:t>
      </w:r>
    </w:p>
    <w:p>
      <w:pPr>
        <w:pStyle w:val="3"/>
        <w:rPr>
          <w:highlight w:val="none"/>
        </w:rPr>
      </w:pPr>
      <w:bookmarkStart w:id="35" w:name="_Toc79333442"/>
      <w:bookmarkStart w:id="36" w:name="_Toc75871366"/>
      <w:bookmarkStart w:id="37" w:name="_Toc27935"/>
      <w:r>
        <w:rPr>
          <w:rFonts w:hint="eastAsia"/>
          <w:highlight w:val="none"/>
        </w:rPr>
        <w:t>（五）绩效自评工作组织</w:t>
      </w:r>
      <w:bookmarkEnd w:id="34"/>
      <w:bookmarkEnd w:id="35"/>
      <w:bookmarkEnd w:id="36"/>
      <w:bookmarkEnd w:id="37"/>
    </w:p>
    <w:p>
      <w:pPr>
        <w:ind w:firstLine="640"/>
        <w:rPr>
          <w:highlight w:val="none"/>
        </w:rPr>
      </w:pPr>
      <w:r>
        <w:rPr>
          <w:rFonts w:hint="eastAsia"/>
          <w:highlight w:val="none"/>
        </w:rPr>
        <w:t>我单位依据自评价相关要求，成立项目自评领导小组，下设自评工作组，由工作组根据具体项目指定专人配合进行自评。</w:t>
      </w:r>
    </w:p>
    <w:p>
      <w:pPr>
        <w:ind w:firstLine="640"/>
        <w:rPr>
          <w:highlight w:val="none"/>
        </w:rPr>
      </w:pPr>
      <w:r>
        <w:rPr>
          <w:rFonts w:hint="eastAsia"/>
          <w:highlight w:val="none"/>
        </w:rPr>
        <w:t>工作组主要工作内容有：</w:t>
      </w:r>
    </w:p>
    <w:p>
      <w:pPr>
        <w:ind w:firstLine="640"/>
        <w:rPr>
          <w:highlight w:val="none"/>
        </w:rPr>
      </w:pPr>
      <w:r>
        <w:rPr>
          <w:rFonts w:hint="eastAsia"/>
          <w:highlight w:val="none"/>
        </w:rPr>
        <w:t>1、召开自评价专门会议，进行自评价工作的统一部署并组织项目相关成员进行必要的政策法规学习；</w:t>
      </w:r>
    </w:p>
    <w:p>
      <w:pPr>
        <w:ind w:firstLine="640"/>
        <w:rPr>
          <w:highlight w:val="none"/>
        </w:rPr>
      </w:pPr>
      <w:r>
        <w:rPr>
          <w:rFonts w:hint="eastAsia"/>
          <w:highlight w:val="none"/>
        </w:rPr>
        <w:t>2、组织有效的调查研究、项目座谈、查阅相关资料；</w:t>
      </w:r>
    </w:p>
    <w:p>
      <w:pPr>
        <w:ind w:firstLine="640"/>
        <w:rPr>
          <w:highlight w:val="none"/>
        </w:rPr>
      </w:pPr>
      <w:r>
        <w:rPr>
          <w:rFonts w:hint="eastAsia"/>
          <w:highlight w:val="none"/>
        </w:rPr>
        <w:t>3、根据获取的资料，依照《项目支出绩效自评表》进行合理打分；</w:t>
      </w:r>
    </w:p>
    <w:p>
      <w:pPr>
        <w:ind w:firstLine="640"/>
        <w:rPr>
          <w:highlight w:val="none"/>
        </w:rPr>
      </w:pPr>
      <w:r>
        <w:rPr>
          <w:rFonts w:hint="eastAsia"/>
          <w:highlight w:val="none"/>
        </w:rPr>
        <w:t>4、综合上述工作成果，撰写项目自评价报告；</w:t>
      </w:r>
    </w:p>
    <w:p>
      <w:pPr>
        <w:pStyle w:val="2"/>
        <w:rPr>
          <w:highlight w:val="none"/>
        </w:rPr>
      </w:pPr>
      <w:bookmarkStart w:id="80" w:name="_GoBack"/>
      <w:bookmarkEnd w:id="80"/>
      <w:bookmarkStart w:id="38" w:name="_Toc79333443"/>
      <w:bookmarkStart w:id="39" w:name="_Toc3173"/>
      <w:r>
        <w:rPr>
          <w:rFonts w:hint="eastAsia"/>
          <w:highlight w:val="none"/>
        </w:rPr>
        <w:t>三、绩效自评结果及分析</w:t>
      </w:r>
      <w:bookmarkEnd w:id="38"/>
      <w:bookmarkEnd w:id="39"/>
    </w:p>
    <w:p>
      <w:pPr>
        <w:pStyle w:val="3"/>
        <w:rPr>
          <w:highlight w:val="none"/>
        </w:rPr>
      </w:pPr>
      <w:bookmarkStart w:id="40" w:name="_Toc4028"/>
      <w:bookmarkStart w:id="41" w:name="_Toc79333444"/>
      <w:bookmarkStart w:id="42" w:name="_Toc18280"/>
      <w:r>
        <w:rPr>
          <w:highlight w:val="none"/>
        </w:rPr>
        <w:t>（一）绩效自评价结果</w:t>
      </w:r>
      <w:bookmarkEnd w:id="40"/>
      <w:bookmarkEnd w:id="41"/>
      <w:bookmarkEnd w:id="42"/>
    </w:p>
    <w:p>
      <w:pPr>
        <w:ind w:firstLine="640"/>
        <w:rPr>
          <w:highlight w:val="none"/>
        </w:rPr>
      </w:pPr>
      <w:r>
        <w:rPr>
          <w:rFonts w:hint="eastAsia"/>
          <w:highlight w:val="none"/>
        </w:rPr>
        <w:t>根据自评相关规定，绩效评价结果实行百分制和四级分类，分别是：90-100分为优、80-89分为良、60-79分为中、0-59分为差。</w:t>
      </w:r>
    </w:p>
    <w:p>
      <w:pPr>
        <w:ind w:firstLine="640"/>
        <w:rPr>
          <w:highlight w:val="none"/>
        </w:rPr>
      </w:pPr>
      <w:r>
        <w:rPr>
          <w:rFonts w:hint="eastAsia"/>
          <w:highlight w:val="none"/>
        </w:rPr>
        <w:t>我单位通过对本项目调查研究、座谈、查阅相关资料，根据相关政策要求进行打分，最终项目自评价得分为</w:t>
      </w:r>
      <w:r>
        <w:rPr>
          <w:rFonts w:hint="eastAsia"/>
          <w:highlight w:val="none"/>
          <w:lang w:val="en-US" w:eastAsia="zh-CN"/>
        </w:rPr>
        <w:t>100</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.1所示</w:t>
      </w:r>
    </w:p>
    <w:p>
      <w:pPr>
        <w:pStyle w:val="16"/>
        <w:ind w:firstLine="643"/>
        <w:rPr>
          <w:highlight w:val="none"/>
        </w:rPr>
      </w:pPr>
      <w:r>
        <w:rPr>
          <w:rFonts w:hint="eastAsia"/>
          <w:highlight w:val="none"/>
        </w:rPr>
        <w:t>表3.1 绩效自评价得分表</w:t>
      </w:r>
    </w:p>
    <w:tbl>
      <w:tblPr>
        <w:tblStyle w:val="12"/>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5"/>
              <w:rPr>
                <w:highlight w:val="none"/>
              </w:rPr>
            </w:pPr>
            <w:r>
              <w:rPr>
                <w:rFonts w:hint="eastAsia"/>
                <w:highlight w:val="none"/>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5"/>
              <w:rPr>
                <w:highlight w:val="none"/>
              </w:rPr>
            </w:pPr>
            <w:r>
              <w:rPr>
                <w:rFonts w:hint="eastAsia"/>
                <w:highlight w:val="none"/>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新增栏目</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新增栏目完成率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新增栏目审核通过率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栏目上映及时率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15"/>
              <w:rPr>
                <w:highlight w:val="none"/>
              </w:rPr>
            </w:pPr>
            <w:r>
              <w:rPr>
                <w:rFonts w:hint="eastAsia"/>
                <w:highlight w:val="none"/>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项目总成本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right w:val="single" w:color="auto" w:sz="4" w:space="0"/>
            </w:tcBorders>
            <w:shd w:val="clear" w:color="auto" w:fill="auto"/>
            <w:noWrap/>
            <w:vAlign w:val="center"/>
          </w:tcPr>
          <w:p>
            <w:pPr>
              <w:pStyle w:val="15"/>
              <w:rPr>
                <w:highlight w:val="none"/>
              </w:rPr>
            </w:pPr>
            <w:r>
              <w:rPr>
                <w:rFonts w:hint="eastAsia"/>
                <w:highlight w:val="none"/>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5"/>
              <w:rPr>
                <w:highlight w:val="none"/>
              </w:rPr>
            </w:pPr>
            <w:r>
              <w:rPr>
                <w:rFonts w:hint="eastAsia"/>
                <w:highlight w:val="none"/>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促进引导新闻舆论工作</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continue"/>
            <w:tcBorders>
              <w:left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促进地方和政府执政</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42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促进引导群众、服务群众</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5"/>
              <w:rPr>
                <w:highlight w:val="none"/>
              </w:rPr>
            </w:pPr>
            <w:r>
              <w:rPr>
                <w:rFonts w:hint="eastAsia"/>
                <w:highlight w:val="none"/>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5"/>
              <w:rPr>
                <w:highlight w:val="none"/>
              </w:rPr>
            </w:pPr>
            <w:r>
              <w:rPr>
                <w:rFonts w:hint="eastAsia"/>
                <w:highlight w:val="none"/>
              </w:rPr>
              <w:t>持续提升城乡居民的安全感幸福感</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5"/>
              <w:rPr>
                <w:highlight w:val="none"/>
              </w:rPr>
            </w:pPr>
            <w:r>
              <w:rPr>
                <w:rFonts w:hint="eastAsia"/>
                <w:highlight w:val="none"/>
              </w:rPr>
              <w:t>持续促进全面建成小康社会</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满意度</w:t>
            </w:r>
          </w:p>
          <w:p>
            <w:pPr>
              <w:pStyle w:val="15"/>
              <w:rPr>
                <w:highlight w:val="none"/>
              </w:rPr>
            </w:pPr>
            <w:r>
              <w:rPr>
                <w:rFonts w:hint="eastAsia"/>
                <w:highlight w:val="none"/>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100</w:t>
            </w:r>
          </w:p>
        </w:tc>
      </w:tr>
    </w:tbl>
    <w:p>
      <w:pPr>
        <w:pStyle w:val="3"/>
        <w:rPr>
          <w:highlight w:val="none"/>
        </w:rPr>
      </w:pPr>
      <w:bookmarkStart w:id="43" w:name="_Toc31442"/>
      <w:bookmarkStart w:id="44" w:name="_Toc79333445"/>
      <w:bookmarkStart w:id="45" w:name="_Toc21199"/>
      <w:r>
        <w:rPr>
          <w:rFonts w:hint="eastAsia"/>
          <w:highlight w:val="none"/>
        </w:rPr>
        <w:t>（二）自评指标分析</w:t>
      </w:r>
      <w:bookmarkEnd w:id="43"/>
      <w:bookmarkEnd w:id="44"/>
      <w:bookmarkEnd w:id="45"/>
    </w:p>
    <w:p>
      <w:pPr>
        <w:pStyle w:val="4"/>
        <w:ind w:firstLine="643"/>
        <w:rPr>
          <w:highlight w:val="none"/>
        </w:rPr>
      </w:pPr>
      <w:bookmarkStart w:id="46" w:name="_Toc9747"/>
      <w:bookmarkStart w:id="47" w:name="_Toc79333446"/>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20</w:t>
      </w:r>
      <w:r>
        <w:rPr>
          <w:rFonts w:hint="eastAsia"/>
          <w:highlight w:val="none"/>
        </w:rPr>
        <w:t>万元，全年执行数为</w:t>
      </w:r>
      <w:r>
        <w:rPr>
          <w:rFonts w:hint="eastAsia"/>
          <w:highlight w:val="none"/>
          <w:lang w:val="en-US" w:eastAsia="zh-CN"/>
        </w:rPr>
        <w:t>20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rPr>
          <w:highlight w:val="none"/>
        </w:rPr>
      </w:pPr>
      <w:bookmarkStart w:id="48" w:name="_Toc79333447"/>
      <w:r>
        <w:rPr>
          <w:rFonts w:hint="eastAsia"/>
          <w:highlight w:val="none"/>
        </w:rPr>
        <w:t>2、产出指标分析</w:t>
      </w:r>
      <w:bookmarkEnd w:id="48"/>
    </w:p>
    <w:p>
      <w:pPr>
        <w:ind w:firstLine="640"/>
        <w:rPr>
          <w:highlight w:val="none"/>
        </w:rPr>
      </w:pPr>
      <w:r>
        <w:rPr>
          <w:rFonts w:hint="eastAsia"/>
          <w:highlight w:val="none"/>
        </w:rPr>
        <w:t>一级指标“产出指标”下设四个二级指标分别是：“数量指标”、“质量指标”、“时效指标”和“成本指标”。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“数量指标”下设三级指标“新增栏目”。</w:t>
      </w:r>
    </w:p>
    <w:p>
      <w:pPr>
        <w:ind w:firstLine="640"/>
        <w:rPr>
          <w:highlight w:val="none"/>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日，新增栏目完成率为1</w:t>
      </w:r>
      <w:r>
        <w:rPr>
          <w:highlight w:val="none"/>
        </w:rPr>
        <w:t>00</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10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“质量指标”下设二个三级指标“新增栏目完成率”和“新增栏目合格上映率”。</w:t>
      </w:r>
    </w:p>
    <w:p>
      <w:pPr>
        <w:ind w:firstLine="640"/>
        <w:rPr>
          <w:highlight w:val="none"/>
        </w:rPr>
      </w:pPr>
      <w:r>
        <w:rPr>
          <w:rFonts w:hint="eastAsia"/>
          <w:highlight w:val="none"/>
        </w:rPr>
        <w:t>根据指标要求，新增栏目完成率</w:t>
      </w:r>
      <w:r>
        <w:rPr>
          <w:rFonts w:hint="eastAsia"/>
          <w:highlight w:val="none"/>
          <w:lang w:eastAsia="zh-CN"/>
        </w:rPr>
        <w:t>达到</w:t>
      </w:r>
      <w:r>
        <w:rPr>
          <w:rFonts w:hint="eastAsia"/>
          <w:highlight w:val="none"/>
          <w:lang w:val="en-US" w:eastAsia="zh-CN"/>
        </w:rPr>
        <w:t>100%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分。新增栏目审核通过率</w:t>
      </w:r>
      <w:r>
        <w:rPr>
          <w:rFonts w:hint="eastAsia"/>
          <w:highlight w:val="none"/>
          <w:lang w:eastAsia="zh-CN"/>
        </w:rPr>
        <w:t>达到</w:t>
      </w:r>
      <w:r>
        <w:rPr>
          <w:rFonts w:hint="eastAsia"/>
          <w:highlight w:val="none"/>
          <w:lang w:val="en-US" w:eastAsia="zh-CN"/>
        </w:rPr>
        <w:t>100%</w:t>
      </w:r>
      <w:r>
        <w:rPr>
          <w:rFonts w:hint="eastAsia"/>
          <w:highlight w:val="none"/>
        </w:rPr>
        <w:t>，该项指标标准分值为1</w:t>
      </w:r>
      <w:r>
        <w:rPr>
          <w:highlight w:val="none"/>
        </w:rPr>
        <w:t>0</w:t>
      </w:r>
      <w:r>
        <w:rPr>
          <w:rFonts w:hint="eastAsia"/>
          <w:highlight w:val="none"/>
        </w:rPr>
        <w:t>分，得分为1</w:t>
      </w:r>
      <w:r>
        <w:rPr>
          <w:highlight w:val="none"/>
        </w:rPr>
        <w:t>0</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20</w:t>
      </w:r>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时效指标下设三级指标“栏目上映及时率”。</w:t>
      </w:r>
    </w:p>
    <w:p>
      <w:pPr>
        <w:ind w:firstLine="640"/>
        <w:rPr>
          <w:highlight w:val="none"/>
        </w:rPr>
      </w:pPr>
      <w:r>
        <w:rPr>
          <w:rFonts w:hint="eastAsia"/>
          <w:highlight w:val="none"/>
        </w:rPr>
        <w:t>根据指标要求，</w:t>
      </w:r>
      <w:r>
        <w:rPr>
          <w:rFonts w:hint="eastAsia" w:ascii="仿宋" w:hAnsi="仿宋" w:eastAsia="仿宋" w:cs="仿宋"/>
          <w:i w:val="0"/>
          <w:iCs w:val="0"/>
          <w:caps w:val="0"/>
          <w:color w:val="3D3D3D"/>
          <w:spacing w:val="0"/>
          <w:sz w:val="32"/>
          <w:szCs w:val="32"/>
          <w:highlight w:val="none"/>
          <w:shd w:val="clear" w:fill="FFFFFF"/>
          <w:lang w:val="en-US" w:eastAsia="zh-CN"/>
        </w:rPr>
        <w:t>栏目上映</w:t>
      </w:r>
      <w:r>
        <w:rPr>
          <w:rFonts w:hint="eastAsia" w:cs="仿宋"/>
          <w:i w:val="0"/>
          <w:iCs w:val="0"/>
          <w:caps w:val="0"/>
          <w:color w:val="3D3D3D"/>
          <w:spacing w:val="0"/>
          <w:sz w:val="32"/>
          <w:szCs w:val="32"/>
          <w:highlight w:val="none"/>
          <w:shd w:val="clear" w:fill="FFFFFF"/>
          <w:lang w:val="en-US" w:eastAsia="zh-CN"/>
        </w:rPr>
        <w:t>及时性为100%</w:t>
      </w:r>
      <w:r>
        <w:rPr>
          <w:rFonts w:hint="eastAsia"/>
          <w:highlight w:val="none"/>
        </w:rPr>
        <w:t>，</w:t>
      </w:r>
      <w:bookmarkStart w:id="49" w:name="_Hlk79160389"/>
      <w:r>
        <w:rPr>
          <w:rFonts w:hint="eastAsia"/>
          <w:highlight w:val="none"/>
        </w:rPr>
        <w:t>符合要求，该指标标准分值为</w:t>
      </w:r>
      <w:r>
        <w:rPr>
          <w:rFonts w:hint="eastAsia"/>
          <w:highlight w:val="none"/>
          <w:lang w:val="en-US" w:eastAsia="zh-CN"/>
        </w:rPr>
        <w:t>10</w:t>
      </w:r>
      <w:r>
        <w:rPr>
          <w:highlight w:val="none"/>
        </w:rPr>
        <w:t>分，得分为</w:t>
      </w:r>
      <w:r>
        <w:rPr>
          <w:rFonts w:hint="eastAsia"/>
          <w:highlight w:val="none"/>
          <w:lang w:val="en-US" w:eastAsia="zh-CN"/>
        </w:rPr>
        <w:t>10</w:t>
      </w:r>
      <w:r>
        <w:rPr>
          <w:highlight w:val="none"/>
        </w:rPr>
        <w:t>分</w:t>
      </w:r>
      <w:r>
        <w:rPr>
          <w:rFonts w:hint="eastAsia"/>
          <w:highlight w:val="none"/>
        </w:rPr>
        <w:t>。</w:t>
      </w:r>
    </w:p>
    <w:bookmarkEnd w:id="49"/>
    <w:p>
      <w:pPr>
        <w:ind w:firstLine="640"/>
        <w:rPr>
          <w:highlight w:val="none"/>
        </w:rPr>
      </w:pPr>
      <w:r>
        <w:rPr>
          <w:rFonts w:hint="eastAsia"/>
          <w:highlight w:val="none"/>
        </w:rPr>
        <w:t>（4）成本指标</w:t>
      </w:r>
    </w:p>
    <w:p>
      <w:pPr>
        <w:ind w:firstLine="64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20</w:t>
      </w:r>
      <w:r>
        <w:rPr>
          <w:rFonts w:hint="eastAsia"/>
          <w:highlight w:val="none"/>
        </w:rPr>
        <w:t>万元，实际支出</w:t>
      </w:r>
      <w:r>
        <w:rPr>
          <w:rFonts w:hint="eastAsia"/>
          <w:highlight w:val="none"/>
          <w:lang w:val="en-US" w:eastAsia="zh-CN"/>
        </w:rPr>
        <w:t>20</w:t>
      </w:r>
      <w:r>
        <w:rPr>
          <w:highlight w:val="none"/>
        </w:rPr>
        <w:t>万元</w:t>
      </w:r>
      <w:r>
        <w:rPr>
          <w:rFonts w:hint="eastAsia"/>
          <w:highlight w:val="none"/>
        </w:rPr>
        <w:t>，未超出预算批复金额。因此该项指标标准分值</w:t>
      </w:r>
      <w:r>
        <w:rPr>
          <w:highlight w:val="none"/>
        </w:rPr>
        <w:t>15</w:t>
      </w:r>
      <w:r>
        <w:rPr>
          <w:rFonts w:hint="eastAsia"/>
          <w:highlight w:val="none"/>
        </w:rPr>
        <w:t>分，得</w:t>
      </w:r>
      <w:r>
        <w:rPr>
          <w:highlight w:val="none"/>
        </w:rPr>
        <w:t>1</w:t>
      </w:r>
      <w:r>
        <w:rPr>
          <w:rFonts w:hint="eastAsia"/>
          <w:highlight w:val="none"/>
          <w:lang w:val="en-US" w:eastAsia="zh-CN"/>
        </w:rPr>
        <w:t>5</w:t>
      </w:r>
      <w:r>
        <w:rPr>
          <w:rFonts w:hint="eastAsia"/>
          <w:highlight w:val="none"/>
        </w:rPr>
        <w:t>分。</w:t>
      </w:r>
    </w:p>
    <w:p>
      <w:pPr>
        <w:pStyle w:val="4"/>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rFonts w:hint="eastAsia" w:ascii="仿宋" w:hAnsi="仿宋" w:eastAsia="仿宋" w:cs="仿宋"/>
          <w:highlight w:val="none"/>
        </w:rPr>
      </w:pPr>
      <w:r>
        <w:rPr>
          <w:rFonts w:hint="eastAsia"/>
          <w:highlight w:val="none"/>
        </w:rPr>
        <w:t>“社</w:t>
      </w:r>
      <w:r>
        <w:rPr>
          <w:rFonts w:hint="eastAsia" w:ascii="仿宋" w:hAnsi="仿宋" w:eastAsia="仿宋" w:cs="仿宋"/>
          <w:highlight w:val="none"/>
        </w:rPr>
        <w:t>会效益”下设</w:t>
      </w:r>
      <w:r>
        <w:rPr>
          <w:rFonts w:hint="eastAsia" w:ascii="仿宋" w:hAnsi="仿宋" w:eastAsia="仿宋" w:cs="仿宋"/>
          <w:highlight w:val="none"/>
          <w:lang w:eastAsia="zh-CN"/>
        </w:rPr>
        <w:t>三个</w:t>
      </w:r>
      <w:r>
        <w:rPr>
          <w:rFonts w:hint="eastAsia" w:ascii="仿宋" w:hAnsi="仿宋" w:eastAsia="仿宋" w:cs="仿宋"/>
          <w:highlight w:val="none"/>
        </w:rPr>
        <w:t>三级指标“促进引导新闻舆论工作”</w:t>
      </w:r>
      <w:r>
        <w:rPr>
          <w:rFonts w:hint="eastAsia" w:ascii="仿宋" w:hAnsi="仿宋" w:eastAsia="仿宋" w:cs="仿宋"/>
          <w:highlight w:val="none"/>
          <w:lang w:eastAsia="zh-CN"/>
        </w:rPr>
        <w:t>、“</w:t>
      </w:r>
      <w:r>
        <w:rPr>
          <w:rFonts w:hint="eastAsia" w:ascii="仿宋" w:hAnsi="仿宋" w:eastAsia="仿宋" w:cs="仿宋"/>
          <w:highlight w:val="none"/>
        </w:rPr>
        <w:t>促进地方和政府执政</w:t>
      </w:r>
      <w:r>
        <w:rPr>
          <w:rFonts w:hint="eastAsia" w:ascii="仿宋" w:hAnsi="仿宋" w:eastAsia="仿宋" w:cs="仿宋"/>
          <w:highlight w:val="none"/>
          <w:lang w:eastAsia="zh-CN"/>
        </w:rPr>
        <w:t>”、“促进</w:t>
      </w:r>
      <w:r>
        <w:rPr>
          <w:rFonts w:hint="eastAsia" w:ascii="仿宋" w:hAnsi="仿宋" w:eastAsia="仿宋" w:cs="仿宋"/>
          <w:highlight w:val="none"/>
        </w:rPr>
        <w:t>引导群众、服务群众</w:t>
      </w:r>
      <w:r>
        <w:rPr>
          <w:rFonts w:hint="eastAsia" w:ascii="仿宋" w:hAnsi="仿宋" w:eastAsia="仿宋" w:cs="仿宋"/>
          <w:highlight w:val="none"/>
          <w:lang w:eastAsia="zh-CN"/>
        </w:rPr>
        <w:t>”</w:t>
      </w:r>
      <w:r>
        <w:rPr>
          <w:rFonts w:hint="eastAsia" w:ascii="仿宋" w:hAnsi="仿宋" w:eastAsia="仿宋" w:cs="仿宋"/>
          <w:highlight w:val="none"/>
        </w:rPr>
        <w:t>。</w:t>
      </w:r>
    </w:p>
    <w:p>
      <w:pPr>
        <w:ind w:firstLine="640"/>
        <w:rPr>
          <w:rFonts w:hint="eastAsia" w:ascii="仿宋" w:hAnsi="仿宋" w:eastAsia="仿宋" w:cs="仿宋"/>
          <w:highlight w:val="none"/>
        </w:rPr>
      </w:pPr>
      <w:r>
        <w:rPr>
          <w:rFonts w:hint="eastAsia" w:ascii="仿宋" w:hAnsi="仿宋" w:eastAsia="仿宋" w:cs="仿宋"/>
          <w:highlight w:val="none"/>
        </w:rPr>
        <w:t>根据指标要求，</w:t>
      </w:r>
      <w:r>
        <w:rPr>
          <w:rFonts w:hint="eastAsia" w:ascii="仿宋" w:hAnsi="仿宋" w:eastAsia="仿宋" w:cs="仿宋"/>
          <w:i w:val="0"/>
          <w:iCs w:val="0"/>
          <w:caps w:val="0"/>
          <w:color w:val="3D3D3D"/>
          <w:spacing w:val="0"/>
          <w:sz w:val="32"/>
          <w:szCs w:val="32"/>
          <w:highlight w:val="none"/>
          <w:shd w:val="clear" w:fill="FFFFFF"/>
          <w:lang w:val="en-US" w:eastAsia="zh-CN"/>
        </w:rPr>
        <w:t>平安太康栏目</w:t>
      </w:r>
      <w:r>
        <w:rPr>
          <w:rFonts w:hint="eastAsia" w:ascii="仿宋" w:hAnsi="仿宋" w:eastAsia="仿宋" w:cs="仿宋"/>
          <w:highlight w:val="none"/>
        </w:rPr>
        <w:t>项目需达到促进地方和政府执政</w:t>
      </w:r>
      <w:r>
        <w:rPr>
          <w:rFonts w:hint="eastAsia" w:ascii="仿宋" w:hAnsi="仿宋" w:eastAsia="仿宋" w:cs="仿宋"/>
          <w:highlight w:val="none"/>
          <w:lang w:eastAsia="zh-CN"/>
        </w:rPr>
        <w:t>的目的，</w:t>
      </w:r>
      <w:r>
        <w:rPr>
          <w:rFonts w:hint="eastAsia" w:ascii="仿宋" w:hAnsi="仿宋" w:eastAsia="仿宋" w:cs="仿宋"/>
          <w:highlight w:val="none"/>
        </w:rPr>
        <w:t>该指标标准分值为</w:t>
      </w:r>
      <w:r>
        <w:rPr>
          <w:rFonts w:hint="eastAsia" w:ascii="仿宋" w:hAnsi="仿宋" w:eastAsia="仿宋" w:cs="仿宋"/>
          <w:highlight w:val="none"/>
          <w:lang w:val="en-US" w:eastAsia="zh-CN"/>
        </w:rPr>
        <w:t>6</w:t>
      </w:r>
      <w:r>
        <w:rPr>
          <w:rFonts w:hint="eastAsia" w:ascii="仿宋" w:hAnsi="仿宋" w:eastAsia="仿宋" w:cs="仿宋"/>
          <w:highlight w:val="none"/>
        </w:rPr>
        <w:t>分，得分为</w:t>
      </w:r>
      <w:r>
        <w:rPr>
          <w:rFonts w:hint="eastAsia" w:ascii="仿宋" w:hAnsi="仿宋" w:eastAsia="仿宋" w:cs="仿宋"/>
          <w:highlight w:val="none"/>
          <w:lang w:val="en-US" w:eastAsia="zh-CN"/>
        </w:rPr>
        <w:t>6</w:t>
      </w:r>
      <w:r>
        <w:rPr>
          <w:rFonts w:hint="eastAsia" w:ascii="仿宋" w:hAnsi="仿宋" w:eastAsia="仿宋" w:cs="仿宋"/>
          <w:highlight w:val="none"/>
        </w:rPr>
        <w:t>分。需达到</w:t>
      </w:r>
      <w:r>
        <w:rPr>
          <w:rFonts w:hint="eastAsia" w:ascii="仿宋" w:hAnsi="仿宋" w:eastAsia="仿宋" w:cs="仿宋"/>
          <w:highlight w:val="none"/>
          <w:lang w:eastAsia="zh-CN"/>
        </w:rPr>
        <w:t>促进</w:t>
      </w:r>
      <w:r>
        <w:rPr>
          <w:rFonts w:hint="eastAsia" w:ascii="仿宋" w:hAnsi="仿宋" w:eastAsia="仿宋" w:cs="仿宋"/>
          <w:highlight w:val="none"/>
        </w:rPr>
        <w:t>引导群众、服务群众</w:t>
      </w:r>
      <w:r>
        <w:rPr>
          <w:rFonts w:hint="eastAsia" w:ascii="仿宋" w:hAnsi="仿宋" w:eastAsia="仿宋" w:cs="仿宋"/>
          <w:highlight w:val="none"/>
          <w:lang w:eastAsia="zh-CN"/>
        </w:rPr>
        <w:t>的目的，</w:t>
      </w:r>
      <w:r>
        <w:rPr>
          <w:rFonts w:hint="eastAsia" w:ascii="仿宋" w:hAnsi="仿宋" w:eastAsia="仿宋" w:cs="仿宋"/>
          <w:highlight w:val="none"/>
        </w:rPr>
        <w:t>该指标标准分值为</w:t>
      </w:r>
      <w:r>
        <w:rPr>
          <w:rFonts w:hint="eastAsia" w:ascii="仿宋" w:hAnsi="仿宋" w:eastAsia="仿宋" w:cs="仿宋"/>
          <w:highlight w:val="none"/>
          <w:lang w:val="en-US" w:eastAsia="zh-CN"/>
        </w:rPr>
        <w:t>6</w:t>
      </w:r>
      <w:r>
        <w:rPr>
          <w:rFonts w:hint="eastAsia" w:ascii="仿宋" w:hAnsi="仿宋" w:eastAsia="仿宋" w:cs="仿宋"/>
          <w:highlight w:val="none"/>
        </w:rPr>
        <w:t>分，得分为</w:t>
      </w:r>
      <w:r>
        <w:rPr>
          <w:rFonts w:hint="eastAsia" w:ascii="仿宋" w:hAnsi="仿宋" w:eastAsia="仿宋" w:cs="仿宋"/>
          <w:highlight w:val="none"/>
          <w:lang w:val="en-US" w:eastAsia="zh-CN"/>
        </w:rPr>
        <w:t>6</w:t>
      </w:r>
      <w:r>
        <w:rPr>
          <w:rFonts w:hint="eastAsia" w:ascii="仿宋" w:hAnsi="仿宋" w:eastAsia="仿宋" w:cs="仿宋"/>
          <w:highlight w:val="none"/>
        </w:rPr>
        <w:t>分。需</w:t>
      </w:r>
      <w:r>
        <w:rPr>
          <w:rFonts w:hint="eastAsia" w:ascii="仿宋" w:hAnsi="仿宋" w:eastAsia="仿宋" w:cs="仿宋"/>
          <w:highlight w:val="none"/>
          <w:lang w:eastAsia="zh-CN"/>
        </w:rPr>
        <w:t>成为</w:t>
      </w:r>
      <w:r>
        <w:rPr>
          <w:rFonts w:hint="eastAsia" w:ascii="仿宋" w:hAnsi="仿宋" w:eastAsia="仿宋" w:cs="仿宋"/>
          <w:highlight w:val="none"/>
        </w:rPr>
        <w:t>引导群众、服务群众的重要平台</w:t>
      </w:r>
      <w:r>
        <w:rPr>
          <w:rFonts w:hint="eastAsia" w:ascii="仿宋" w:hAnsi="仿宋" w:eastAsia="仿宋" w:cs="仿宋"/>
          <w:highlight w:val="none"/>
          <w:lang w:eastAsia="zh-CN"/>
        </w:rPr>
        <w:t>，</w:t>
      </w:r>
      <w:r>
        <w:rPr>
          <w:rFonts w:hint="eastAsia" w:ascii="仿宋" w:hAnsi="仿宋" w:eastAsia="仿宋" w:cs="仿宋"/>
          <w:highlight w:val="none"/>
        </w:rPr>
        <w:t>该指标标准分值为</w:t>
      </w:r>
      <w:r>
        <w:rPr>
          <w:rFonts w:hint="eastAsia" w:ascii="仿宋" w:hAnsi="仿宋" w:eastAsia="仿宋" w:cs="仿宋"/>
          <w:highlight w:val="none"/>
          <w:lang w:val="en-US" w:eastAsia="zh-CN"/>
        </w:rPr>
        <w:t>6</w:t>
      </w:r>
      <w:r>
        <w:rPr>
          <w:rFonts w:hint="eastAsia" w:ascii="仿宋" w:hAnsi="仿宋" w:eastAsia="仿宋" w:cs="仿宋"/>
          <w:highlight w:val="none"/>
        </w:rPr>
        <w:t>分，得分为</w:t>
      </w:r>
      <w:r>
        <w:rPr>
          <w:rFonts w:hint="eastAsia" w:ascii="仿宋" w:hAnsi="仿宋" w:eastAsia="仿宋" w:cs="仿宋"/>
          <w:highlight w:val="none"/>
          <w:lang w:val="en-US" w:eastAsia="zh-CN"/>
        </w:rPr>
        <w:t>6</w:t>
      </w:r>
      <w:r>
        <w:rPr>
          <w:rFonts w:hint="eastAsia" w:ascii="仿宋" w:hAnsi="仿宋" w:eastAsia="仿宋" w:cs="仿宋"/>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18</w:t>
      </w:r>
      <w:r>
        <w:rPr>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rFonts w:hint="eastAsia"/>
          <w:highlight w:val="none"/>
        </w:rPr>
      </w:pPr>
      <w:r>
        <w:rPr>
          <w:rFonts w:hint="eastAsia"/>
          <w:highlight w:val="none"/>
        </w:rPr>
        <w:t>“可持续影响”下设三级指标“不断提升城乡居民的安全感幸福感”</w:t>
      </w:r>
      <w:r>
        <w:rPr>
          <w:rFonts w:hint="eastAsia"/>
          <w:highlight w:val="none"/>
          <w:lang w:eastAsia="zh-CN"/>
        </w:rPr>
        <w:t>、“</w:t>
      </w:r>
      <w:r>
        <w:rPr>
          <w:rFonts w:hint="eastAsia"/>
          <w:highlight w:val="none"/>
        </w:rPr>
        <w:t>为全面建成小康社会提供舆论保障</w:t>
      </w:r>
      <w:r>
        <w:rPr>
          <w:rFonts w:hint="eastAsia"/>
          <w:highlight w:val="none"/>
          <w:lang w:eastAsia="zh-CN"/>
        </w:rPr>
        <w:t>”</w:t>
      </w:r>
      <w:r>
        <w:rPr>
          <w:rFonts w:hint="eastAsia"/>
          <w:highlight w:val="none"/>
        </w:rPr>
        <w:t>。</w:t>
      </w:r>
    </w:p>
    <w:p>
      <w:pPr>
        <w:ind w:firstLine="640"/>
        <w:rPr>
          <w:rFonts w:hint="eastAsia"/>
          <w:highlight w:val="none"/>
        </w:rPr>
      </w:pPr>
      <w:r>
        <w:rPr>
          <w:rFonts w:hint="eastAsia" w:ascii="仿宋" w:hAnsi="仿宋" w:eastAsia="仿宋" w:cs="仿宋"/>
          <w:i w:val="0"/>
          <w:iCs w:val="0"/>
          <w:caps w:val="0"/>
          <w:color w:val="3D3D3D"/>
          <w:spacing w:val="0"/>
          <w:sz w:val="32"/>
          <w:szCs w:val="32"/>
          <w:highlight w:val="none"/>
          <w:shd w:val="clear" w:fill="FFFFFF"/>
          <w:lang w:val="en-US" w:eastAsia="zh-CN"/>
        </w:rPr>
        <w:t>平安太康栏目</w:t>
      </w:r>
      <w:r>
        <w:rPr>
          <w:rFonts w:hint="eastAsia" w:ascii="仿宋" w:hAnsi="仿宋" w:eastAsia="仿宋" w:cs="仿宋"/>
          <w:i w:val="0"/>
          <w:iCs w:val="0"/>
          <w:caps w:val="0"/>
          <w:color w:val="3D3D3D"/>
          <w:spacing w:val="0"/>
          <w:sz w:val="32"/>
          <w:szCs w:val="32"/>
          <w:highlight w:val="none"/>
          <w:shd w:val="clear" w:color="auto" w:fill="FFFFFF"/>
          <w:lang w:val="en-US" w:eastAsia="zh-CN"/>
        </w:rPr>
        <w:t>项目已经</w:t>
      </w:r>
      <w:r>
        <w:rPr>
          <w:rFonts w:hint="eastAsia" w:ascii="仿宋" w:hAnsi="仿宋" w:eastAsia="仿宋" w:cs="仿宋"/>
          <w:highlight w:val="none"/>
        </w:rPr>
        <w:t>完</w:t>
      </w:r>
      <w:r>
        <w:rPr>
          <w:rFonts w:hint="eastAsia" w:ascii="仿宋" w:hAnsi="仿宋" w:eastAsia="仿宋" w:cs="仿宋"/>
          <w:highlight w:val="none"/>
          <w:lang w:eastAsia="zh-CN"/>
        </w:rPr>
        <w:t>成</w:t>
      </w:r>
      <w:r>
        <w:rPr>
          <w:rFonts w:hint="eastAsia" w:ascii="仿宋" w:hAnsi="仿宋" w:eastAsia="仿宋" w:cs="仿宋"/>
          <w:highlight w:val="none"/>
        </w:rPr>
        <w:t>，具有可持续影响效益，</w:t>
      </w:r>
      <w:r>
        <w:rPr>
          <w:rFonts w:hint="eastAsia" w:ascii="仿宋" w:hAnsi="仿宋" w:eastAsia="仿宋" w:cs="仿宋"/>
          <w:highlight w:val="none"/>
          <w:lang w:eastAsia="zh-CN"/>
        </w:rPr>
        <w:t>达到</w:t>
      </w:r>
      <w:r>
        <w:rPr>
          <w:rFonts w:hint="eastAsia" w:ascii="仿宋" w:hAnsi="仿宋" w:eastAsia="仿宋" w:cs="仿宋"/>
          <w:highlight w:val="none"/>
        </w:rPr>
        <w:t>不断提升城乡居民的安全感幸福感</w:t>
      </w:r>
      <w:r>
        <w:rPr>
          <w:rFonts w:hint="eastAsia" w:ascii="仿宋" w:hAnsi="仿宋" w:eastAsia="仿宋" w:cs="仿宋"/>
          <w:highlight w:val="none"/>
          <w:lang w:eastAsia="zh-CN"/>
        </w:rPr>
        <w:t>的目的，</w:t>
      </w:r>
      <w:r>
        <w:rPr>
          <w:rFonts w:hint="eastAsia" w:ascii="仿宋" w:hAnsi="仿宋" w:eastAsia="仿宋" w:cs="仿宋"/>
          <w:highlight w:val="none"/>
        </w:rPr>
        <w:t>该指标标准分值为</w:t>
      </w:r>
      <w:r>
        <w:rPr>
          <w:rFonts w:hint="eastAsia" w:ascii="仿宋" w:hAnsi="仿宋" w:eastAsia="仿宋" w:cs="仿宋"/>
          <w:highlight w:val="none"/>
          <w:lang w:val="en-US" w:eastAsia="zh-CN"/>
        </w:rPr>
        <w:t>6</w:t>
      </w:r>
      <w:r>
        <w:rPr>
          <w:rFonts w:hint="eastAsia" w:ascii="仿宋" w:hAnsi="仿宋" w:eastAsia="仿宋" w:cs="仿宋"/>
          <w:highlight w:val="none"/>
        </w:rPr>
        <w:t>分，得分为</w:t>
      </w:r>
      <w:r>
        <w:rPr>
          <w:rFonts w:hint="eastAsia" w:ascii="仿宋" w:hAnsi="仿宋" w:eastAsia="仿宋" w:cs="仿宋"/>
          <w:highlight w:val="none"/>
          <w:lang w:val="en-US" w:eastAsia="zh-CN"/>
        </w:rPr>
        <w:t>6</w:t>
      </w:r>
      <w:r>
        <w:rPr>
          <w:rFonts w:hint="eastAsia" w:ascii="仿宋" w:hAnsi="仿宋" w:eastAsia="仿宋" w:cs="仿宋"/>
          <w:highlight w:val="none"/>
        </w:rPr>
        <w:t>分</w:t>
      </w:r>
      <w:r>
        <w:rPr>
          <w:rFonts w:hint="eastAsia" w:ascii="仿宋" w:hAnsi="仿宋" w:eastAsia="仿宋" w:cs="仿宋"/>
          <w:highlight w:val="none"/>
          <w:lang w:eastAsia="zh-CN"/>
        </w:rPr>
        <w:t>，达到</w:t>
      </w:r>
      <w:r>
        <w:rPr>
          <w:rFonts w:hint="eastAsia" w:ascii="仿宋" w:hAnsi="仿宋" w:eastAsia="仿宋" w:cs="仿宋"/>
          <w:highlight w:val="none"/>
        </w:rPr>
        <w:t>为全面建成小康社会提</w:t>
      </w:r>
      <w:r>
        <w:rPr>
          <w:rFonts w:hint="eastAsia"/>
          <w:highlight w:val="none"/>
        </w:rPr>
        <w:t>供舆论保障</w:t>
      </w:r>
      <w:r>
        <w:rPr>
          <w:rFonts w:hint="eastAsia"/>
          <w:highlight w:val="none"/>
          <w:lang w:eastAsia="zh-CN"/>
        </w:rPr>
        <w:t>的目的，</w:t>
      </w:r>
      <w:r>
        <w:rPr>
          <w:rFonts w:hint="eastAsia"/>
          <w:highlight w:val="none"/>
        </w:rPr>
        <w:t>该指标标准分值为</w:t>
      </w:r>
      <w:r>
        <w:rPr>
          <w:rFonts w:hint="eastAsia"/>
          <w:highlight w:val="none"/>
          <w:lang w:val="en-US" w:eastAsia="zh-CN"/>
        </w:rPr>
        <w:t>6</w:t>
      </w:r>
      <w:r>
        <w:rPr>
          <w:rFonts w:hint="eastAsia"/>
          <w:highlight w:val="none"/>
        </w:rPr>
        <w:t>分，得分为</w:t>
      </w:r>
      <w:r>
        <w:rPr>
          <w:rFonts w:hint="eastAsia"/>
          <w:highlight w:val="none"/>
          <w:lang w:val="en-US" w:eastAsia="zh-CN"/>
        </w:rPr>
        <w:t>6</w:t>
      </w:r>
      <w:r>
        <w:rPr>
          <w:rFonts w:hint="eastAsia"/>
          <w:highlight w:val="none"/>
        </w:rPr>
        <w:t>分。</w:t>
      </w:r>
    </w:p>
    <w:p>
      <w:pPr>
        <w:ind w:firstLine="640"/>
        <w:rPr>
          <w:highlight w:val="none"/>
        </w:rPr>
      </w:pPr>
      <w:r>
        <w:rPr>
          <w:rFonts w:hint="eastAsia"/>
          <w:highlight w:val="none"/>
        </w:rPr>
        <w:t>综上所述，根据评分标准，可持续影响指标实际得</w:t>
      </w:r>
      <w:r>
        <w:rPr>
          <w:rFonts w:hint="eastAsia"/>
          <w:highlight w:val="none"/>
          <w:lang w:val="en-US" w:eastAsia="zh-CN"/>
        </w:rPr>
        <w:t>12</w:t>
      </w:r>
      <w:r>
        <w:rPr>
          <w:highlight w:val="none"/>
        </w:rPr>
        <w:t>分。</w:t>
      </w:r>
    </w:p>
    <w:p>
      <w:pPr>
        <w:pStyle w:val="4"/>
        <w:ind w:firstLine="643"/>
        <w:rPr>
          <w:rFonts w:hint="eastAsia"/>
          <w:highlight w:val="none"/>
        </w:rPr>
      </w:pPr>
      <w:bookmarkStart w:id="51" w:name="_Toc79333449"/>
      <w:r>
        <w:rPr>
          <w:highlight w:val="none"/>
        </w:rPr>
        <w:t>4、满意度指标分析</w:t>
      </w:r>
      <w:bookmarkEnd w:id="51"/>
    </w:p>
    <w:p>
      <w:pPr>
        <w:pStyle w:val="2"/>
        <w:ind w:firstLine="640" w:firstLineChars="200"/>
        <w:rPr>
          <w:rFonts w:hint="eastAsia" w:ascii="仿宋" w:hAnsi="仿宋" w:eastAsia="仿宋" w:cs="仿宋"/>
          <w:b w:val="0"/>
          <w:bCs w:val="0"/>
          <w:sz w:val="32"/>
          <w:szCs w:val="32"/>
          <w:highlight w:val="none"/>
        </w:rPr>
      </w:pPr>
      <w:bookmarkStart w:id="52" w:name="_Toc9847"/>
      <w:bookmarkStart w:id="53" w:name="_Toc29830"/>
      <w:bookmarkStart w:id="54" w:name="_Toc79333450"/>
      <w:r>
        <w:rPr>
          <w:rFonts w:hint="eastAsia" w:ascii="仿宋" w:hAnsi="仿宋" w:eastAsia="仿宋" w:cs="仿宋"/>
          <w:b w:val="0"/>
          <w:bCs w:val="0"/>
          <w:sz w:val="32"/>
          <w:szCs w:val="32"/>
          <w:highlight w:val="none"/>
        </w:rPr>
        <w:t>本项目调查</w:t>
      </w:r>
      <w:r>
        <w:rPr>
          <w:rFonts w:hint="eastAsia" w:ascii="仿宋" w:hAnsi="仿宋" w:eastAsia="仿宋" w:cs="仿宋"/>
          <w:b w:val="0"/>
          <w:bCs w:val="0"/>
          <w:sz w:val="32"/>
          <w:szCs w:val="32"/>
          <w:highlight w:val="none"/>
          <w:lang w:eastAsia="zh-CN"/>
        </w:rPr>
        <w:t>全县</w:t>
      </w:r>
      <w:r>
        <w:rPr>
          <w:rFonts w:hint="eastAsia" w:ascii="仿宋" w:hAnsi="仿宋" w:eastAsia="仿宋" w:cs="仿宋"/>
          <w:b w:val="0"/>
          <w:bCs w:val="0"/>
          <w:sz w:val="32"/>
          <w:szCs w:val="32"/>
          <w:highlight w:val="none"/>
        </w:rPr>
        <w:t>受益人群</w:t>
      </w:r>
      <w:r>
        <w:rPr>
          <w:rFonts w:hint="eastAsia" w:ascii="仿宋" w:hAnsi="仿宋" w:eastAsia="仿宋" w:cs="仿宋"/>
          <w:b w:val="0"/>
          <w:bCs w:val="0"/>
          <w:sz w:val="32"/>
          <w:szCs w:val="32"/>
          <w:highlight w:val="none"/>
          <w:lang w:val="en-US" w:eastAsia="zh-CN"/>
        </w:rPr>
        <w:t>1137</w:t>
      </w:r>
      <w:r>
        <w:rPr>
          <w:rFonts w:hint="eastAsia" w:ascii="仿宋" w:hAnsi="仿宋" w:eastAsia="仿宋" w:cs="仿宋"/>
          <w:b w:val="0"/>
          <w:bCs w:val="0"/>
          <w:sz w:val="32"/>
          <w:szCs w:val="32"/>
          <w:highlight w:val="none"/>
        </w:rPr>
        <w:t>人，发放调查问卷</w:t>
      </w:r>
      <w:r>
        <w:rPr>
          <w:rFonts w:hint="eastAsia" w:ascii="仿宋" w:hAnsi="仿宋" w:eastAsia="仿宋" w:cs="仿宋"/>
          <w:b w:val="0"/>
          <w:bCs w:val="0"/>
          <w:sz w:val="32"/>
          <w:szCs w:val="32"/>
          <w:highlight w:val="none"/>
          <w:lang w:val="en-US" w:eastAsia="zh-CN"/>
        </w:rPr>
        <w:t>1137</w:t>
      </w:r>
      <w:r>
        <w:rPr>
          <w:rFonts w:hint="eastAsia" w:ascii="仿宋" w:hAnsi="仿宋" w:eastAsia="仿宋" w:cs="仿宋"/>
          <w:b w:val="0"/>
          <w:bCs w:val="0"/>
          <w:sz w:val="32"/>
          <w:szCs w:val="32"/>
          <w:highlight w:val="none"/>
        </w:rPr>
        <w:t>份，回收</w:t>
      </w:r>
      <w:r>
        <w:rPr>
          <w:rFonts w:hint="eastAsia" w:ascii="仿宋" w:hAnsi="仿宋" w:eastAsia="仿宋" w:cs="仿宋"/>
          <w:b w:val="0"/>
          <w:bCs w:val="0"/>
          <w:sz w:val="32"/>
          <w:szCs w:val="32"/>
          <w:highlight w:val="none"/>
          <w:lang w:val="en-US" w:eastAsia="zh-CN"/>
        </w:rPr>
        <w:t>1121</w:t>
      </w:r>
      <w:r>
        <w:rPr>
          <w:rFonts w:hint="eastAsia" w:ascii="仿宋" w:hAnsi="仿宋" w:eastAsia="仿宋" w:cs="仿宋"/>
          <w:b w:val="0"/>
          <w:bCs w:val="0"/>
          <w:sz w:val="32"/>
          <w:szCs w:val="32"/>
          <w:highlight w:val="none"/>
        </w:rPr>
        <w:t>份，其中有效问卷</w:t>
      </w:r>
      <w:r>
        <w:rPr>
          <w:rFonts w:hint="eastAsia" w:ascii="仿宋" w:hAnsi="仿宋" w:eastAsia="仿宋" w:cs="仿宋"/>
          <w:b w:val="0"/>
          <w:bCs w:val="0"/>
          <w:sz w:val="32"/>
          <w:szCs w:val="32"/>
          <w:highlight w:val="none"/>
          <w:lang w:val="en-US" w:eastAsia="zh-CN"/>
        </w:rPr>
        <w:t>1100</w:t>
      </w:r>
      <w:r>
        <w:rPr>
          <w:rFonts w:hint="eastAsia" w:ascii="仿宋" w:hAnsi="仿宋" w:eastAsia="仿宋" w:cs="仿宋"/>
          <w:b w:val="0"/>
          <w:bCs w:val="0"/>
          <w:sz w:val="32"/>
          <w:szCs w:val="32"/>
          <w:highlight w:val="none"/>
        </w:rPr>
        <w:t>份。其中非常满意人数</w:t>
      </w:r>
      <w:r>
        <w:rPr>
          <w:rFonts w:hint="eastAsia" w:ascii="仿宋" w:hAnsi="仿宋" w:eastAsia="仿宋" w:cs="仿宋"/>
          <w:b w:val="0"/>
          <w:bCs w:val="0"/>
          <w:sz w:val="32"/>
          <w:szCs w:val="32"/>
          <w:highlight w:val="none"/>
          <w:lang w:val="en-US" w:eastAsia="zh-CN"/>
        </w:rPr>
        <w:t>229</w:t>
      </w:r>
      <w:r>
        <w:rPr>
          <w:rFonts w:hint="eastAsia" w:ascii="仿宋" w:hAnsi="仿宋" w:eastAsia="仿宋" w:cs="仿宋"/>
          <w:b w:val="0"/>
          <w:bCs w:val="0"/>
          <w:sz w:val="32"/>
          <w:szCs w:val="32"/>
          <w:highlight w:val="none"/>
        </w:rPr>
        <w:t>人，满意</w:t>
      </w:r>
      <w:r>
        <w:rPr>
          <w:rFonts w:hint="eastAsia" w:ascii="仿宋" w:hAnsi="仿宋" w:eastAsia="仿宋" w:cs="仿宋"/>
          <w:b w:val="0"/>
          <w:bCs w:val="0"/>
          <w:sz w:val="32"/>
          <w:szCs w:val="32"/>
          <w:highlight w:val="none"/>
          <w:lang w:val="en-US" w:eastAsia="zh-CN"/>
        </w:rPr>
        <w:t>739</w:t>
      </w:r>
      <w:r>
        <w:rPr>
          <w:rFonts w:hint="eastAsia" w:ascii="仿宋" w:hAnsi="仿宋" w:eastAsia="仿宋" w:cs="仿宋"/>
          <w:b w:val="0"/>
          <w:bCs w:val="0"/>
          <w:sz w:val="32"/>
          <w:szCs w:val="32"/>
          <w:highlight w:val="none"/>
        </w:rPr>
        <w:t>人，不满意</w:t>
      </w:r>
      <w:r>
        <w:rPr>
          <w:rFonts w:hint="eastAsia" w:ascii="仿宋" w:hAnsi="仿宋" w:eastAsia="仿宋" w:cs="仿宋"/>
          <w:b w:val="0"/>
          <w:bCs w:val="0"/>
          <w:sz w:val="32"/>
          <w:szCs w:val="32"/>
          <w:highlight w:val="none"/>
          <w:lang w:val="en-US" w:eastAsia="zh-CN"/>
        </w:rPr>
        <w:t>132</w:t>
      </w:r>
      <w:r>
        <w:rPr>
          <w:rFonts w:hint="eastAsia" w:ascii="仿宋" w:hAnsi="仿宋" w:eastAsia="仿宋" w:cs="仿宋"/>
          <w:b w:val="0"/>
          <w:bCs w:val="0"/>
          <w:sz w:val="32"/>
          <w:szCs w:val="32"/>
          <w:highlight w:val="none"/>
        </w:rPr>
        <w:t>人，综合满意度为</w:t>
      </w:r>
      <w:r>
        <w:rPr>
          <w:rFonts w:hint="eastAsia" w:ascii="仿宋" w:hAnsi="仿宋" w:eastAsia="仿宋" w:cs="仿宋"/>
          <w:b w:val="0"/>
          <w:bCs w:val="0"/>
          <w:sz w:val="32"/>
          <w:szCs w:val="32"/>
          <w:highlight w:val="none"/>
          <w:lang w:val="en-US" w:eastAsia="zh-CN"/>
        </w:rPr>
        <w:t>88</w:t>
      </w:r>
      <w:r>
        <w:rPr>
          <w:rFonts w:hint="eastAsia" w:ascii="仿宋" w:hAnsi="仿宋" w:eastAsia="仿宋" w:cs="仿宋"/>
          <w:b w:val="0"/>
          <w:bCs w:val="0"/>
          <w:sz w:val="32"/>
          <w:szCs w:val="32"/>
          <w:highlight w:val="none"/>
        </w:rPr>
        <w:t>%，根据评分标准，该项指标标准分值10分，得分为</w:t>
      </w:r>
      <w:r>
        <w:rPr>
          <w:rFonts w:hint="eastAsia" w:ascii="仿宋" w:hAnsi="仿宋" w:eastAsia="仿宋" w:cs="仿宋"/>
          <w:b w:val="0"/>
          <w:bCs w:val="0"/>
          <w:sz w:val="32"/>
          <w:szCs w:val="32"/>
          <w:highlight w:val="none"/>
          <w:lang w:val="en-US" w:eastAsia="zh-CN"/>
        </w:rPr>
        <w:t>1</w:t>
      </w:r>
      <w:r>
        <w:rPr>
          <w:rFonts w:hint="eastAsia" w:ascii="仿宋" w:hAnsi="仿宋" w:eastAsia="仿宋" w:cs="仿宋"/>
          <w:b w:val="0"/>
          <w:bCs w:val="0"/>
          <w:sz w:val="32"/>
          <w:szCs w:val="32"/>
          <w:highlight w:val="none"/>
        </w:rPr>
        <w:t>0分。</w:t>
      </w:r>
      <w:bookmarkEnd w:id="52"/>
    </w:p>
    <w:p>
      <w:pPr>
        <w:pStyle w:val="2"/>
        <w:rPr>
          <w:highlight w:val="none"/>
        </w:rPr>
      </w:pPr>
      <w:bookmarkStart w:id="55" w:name="_Toc2135"/>
      <w:r>
        <w:rPr>
          <w:rFonts w:hint="eastAsia"/>
          <w:highlight w:val="none"/>
        </w:rPr>
        <w:t>四、成果和问题</w:t>
      </w:r>
      <w:bookmarkEnd w:id="53"/>
      <w:bookmarkEnd w:id="54"/>
      <w:bookmarkEnd w:id="55"/>
    </w:p>
    <w:p>
      <w:pPr>
        <w:pStyle w:val="3"/>
        <w:rPr>
          <w:highlight w:val="none"/>
        </w:rPr>
      </w:pPr>
      <w:bookmarkStart w:id="56" w:name="_Toc79333451"/>
      <w:bookmarkStart w:id="57" w:name="_Toc20700"/>
      <w:r>
        <w:rPr>
          <w:rFonts w:hint="eastAsia"/>
          <w:highlight w:val="none"/>
        </w:rPr>
        <w:t>（一）项目实施的成果</w:t>
      </w:r>
      <w:bookmarkEnd w:id="56"/>
      <w:bookmarkEnd w:id="57"/>
    </w:p>
    <w:p>
      <w:pPr>
        <w:ind w:firstLine="640"/>
        <w:rPr>
          <w:highlight w:val="none"/>
        </w:rPr>
      </w:pPr>
      <w:r>
        <w:rPr>
          <w:rFonts w:hint="eastAsia"/>
          <w:highlight w:val="none"/>
        </w:rPr>
        <w:t>一是项目产出质量安全事故发生次数达标，施工过程安全有效，保持零事故率。</w:t>
      </w:r>
    </w:p>
    <w:p>
      <w:pPr>
        <w:ind w:firstLine="640"/>
        <w:rPr>
          <w:highlight w:val="none"/>
        </w:rPr>
      </w:pPr>
      <w:r>
        <w:rPr>
          <w:rFonts w:hint="eastAsia"/>
          <w:highlight w:val="none"/>
        </w:rPr>
        <w:t>二是项目部管理工作到位，基本上未出现工作失误，各方满意度较高。</w:t>
      </w:r>
    </w:p>
    <w:p>
      <w:pPr>
        <w:pStyle w:val="3"/>
        <w:rPr>
          <w:b/>
          <w:highlight w:val="none"/>
        </w:rPr>
      </w:pPr>
      <w:bookmarkStart w:id="58" w:name="_Toc79333452"/>
      <w:bookmarkStart w:id="59" w:name="_Toc24272"/>
      <w:r>
        <w:rPr>
          <w:rFonts w:hint="eastAsia"/>
          <w:highlight w:val="none"/>
        </w:rPr>
        <w:t>（二）项目存在的问题</w:t>
      </w:r>
      <w:bookmarkEnd w:id="58"/>
      <w:bookmarkEnd w:id="59"/>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rPr>
          <w:highlight w:val="none"/>
        </w:rPr>
      </w:pPr>
      <w:bookmarkStart w:id="60" w:name="_Toc79333453"/>
      <w:bookmarkStart w:id="61" w:name="_Toc27227"/>
      <w:bookmarkStart w:id="62" w:name="_Toc10390"/>
      <w:r>
        <w:rPr>
          <w:rFonts w:hint="eastAsia"/>
          <w:highlight w:val="none"/>
        </w:rPr>
        <w:t>五、建议</w:t>
      </w:r>
      <w:bookmarkEnd w:id="60"/>
      <w:bookmarkEnd w:id="61"/>
      <w:bookmarkEnd w:id="62"/>
    </w:p>
    <w:p>
      <w:pPr>
        <w:pStyle w:val="3"/>
        <w:rPr>
          <w:highlight w:val="none"/>
        </w:rPr>
      </w:pPr>
      <w:bookmarkStart w:id="63" w:name="_Toc79333454"/>
      <w:bookmarkStart w:id="64" w:name="_Toc12752"/>
      <w:r>
        <w:rPr>
          <w:rFonts w:hint="eastAsia"/>
          <w:highlight w:val="none"/>
        </w:rPr>
        <w:t>（一）强化预算绩效管理意识，提升项目产出效益</w:t>
      </w:r>
      <w:bookmarkEnd w:id="63"/>
      <w:bookmarkEnd w:id="64"/>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5" w:name="_Toc79333455"/>
      <w:bookmarkStart w:id="66" w:name="_Toc24114"/>
      <w:r>
        <w:rPr>
          <w:rFonts w:hint="eastAsia"/>
          <w:highlight w:val="none"/>
        </w:rPr>
        <w:t>（二）加强学习培训，进一步提高绩效管理水平</w:t>
      </w:r>
      <w:bookmarkEnd w:id="65"/>
      <w:bookmarkEnd w:id="66"/>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2"/>
        <w:rPr>
          <w:highlight w:val="none"/>
        </w:rPr>
      </w:pPr>
      <w:bookmarkStart w:id="67" w:name="_Toc79333457"/>
      <w:bookmarkStart w:id="68" w:name="_Toc665"/>
      <w:bookmarkStart w:id="69" w:name="_Toc19919"/>
      <w:r>
        <w:rPr>
          <w:rFonts w:hint="eastAsia"/>
          <w:highlight w:val="none"/>
        </w:rPr>
        <w:t>六、其他需要说明的问题</w:t>
      </w:r>
      <w:bookmarkEnd w:id="67"/>
      <w:bookmarkEnd w:id="68"/>
      <w:bookmarkEnd w:id="69"/>
    </w:p>
    <w:p>
      <w:pPr>
        <w:ind w:firstLine="640"/>
        <w:rPr>
          <w:highlight w:val="none"/>
        </w:rPr>
      </w:pPr>
      <w:r>
        <w:rPr>
          <w:rFonts w:hint="eastAsia"/>
          <w:highlight w:val="none"/>
        </w:rPr>
        <w:t>无</w:t>
      </w:r>
    </w:p>
    <w:p>
      <w:pPr>
        <w:pStyle w:val="2"/>
        <w:rPr>
          <w:highlight w:val="none"/>
        </w:rPr>
      </w:pPr>
      <w:bookmarkStart w:id="70" w:name="_Toc61882435"/>
      <w:bookmarkStart w:id="71" w:name="_Toc79333458"/>
      <w:bookmarkStart w:id="72" w:name="_Toc75871379"/>
      <w:bookmarkStart w:id="73" w:name="_Toc62030119"/>
      <w:bookmarkStart w:id="74" w:name="_Toc31194"/>
      <w:r>
        <w:rPr>
          <w:rFonts w:hint="eastAsia"/>
          <w:highlight w:val="none"/>
        </w:rPr>
        <w:t>七、附件</w:t>
      </w:r>
      <w:bookmarkEnd w:id="70"/>
      <w:bookmarkEnd w:id="71"/>
      <w:bookmarkEnd w:id="72"/>
      <w:bookmarkEnd w:id="73"/>
      <w:bookmarkEnd w:id="74"/>
    </w:p>
    <w:p>
      <w:pPr>
        <w:ind w:firstLine="640"/>
        <w:rPr>
          <w:highlight w:val="none"/>
        </w:rPr>
      </w:pPr>
      <w:r>
        <w:rPr>
          <w:rFonts w:hint="eastAsia"/>
          <w:highlight w:val="none"/>
        </w:rPr>
        <w:t>附件一：项目绩效自评表</w:t>
      </w:r>
    </w:p>
    <w:p>
      <w:pPr>
        <w:ind w:firstLine="640"/>
        <w:rPr>
          <w:highlight w:val="none"/>
        </w:rPr>
      </w:pPr>
    </w:p>
    <w:p>
      <w:pPr>
        <w:ind w:firstLine="640"/>
        <w:rPr>
          <w:highlight w:val="none"/>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highlight w:val="none"/>
        </w:rPr>
      </w:pPr>
      <w:bookmarkStart w:id="75" w:name="_Toc62030120"/>
      <w:bookmarkStart w:id="76" w:name="_Toc79333459"/>
      <w:bookmarkStart w:id="77" w:name="_Toc75871380"/>
      <w:bookmarkStart w:id="78" w:name="_Toc61882642"/>
      <w:bookmarkStart w:id="79" w:name="_Toc14723"/>
      <w:r>
        <w:rPr>
          <w:rFonts w:hint="eastAsia"/>
          <w:highlight w:val="none"/>
        </w:rPr>
        <w:t>附件一：项目绩效自评表</w:t>
      </w:r>
      <w:bookmarkEnd w:id="75"/>
      <w:bookmarkEnd w:id="76"/>
      <w:bookmarkEnd w:id="77"/>
      <w:bookmarkEnd w:id="78"/>
      <w:bookmarkEnd w:id="79"/>
    </w:p>
    <w:p>
      <w:pPr>
        <w:tabs>
          <w:tab w:val="left" w:pos="1400"/>
        </w:tabs>
        <w:spacing w:line="20" w:lineRule="exact"/>
        <w:ind w:firstLine="640"/>
        <w:rPr>
          <w:highlight w:val="none"/>
        </w:rPr>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yMGY5ODlhZmI4MDM1Zjk3ZDNlNzQ4OTRmOTg0Zm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586C26"/>
    <w:rsid w:val="01645940"/>
    <w:rsid w:val="03C660F1"/>
    <w:rsid w:val="042B4352"/>
    <w:rsid w:val="06DD5138"/>
    <w:rsid w:val="07D72202"/>
    <w:rsid w:val="09034D82"/>
    <w:rsid w:val="0D5A0904"/>
    <w:rsid w:val="0EE02FCE"/>
    <w:rsid w:val="11D14067"/>
    <w:rsid w:val="189848E7"/>
    <w:rsid w:val="1B002515"/>
    <w:rsid w:val="1BA50EE0"/>
    <w:rsid w:val="1CBF4C66"/>
    <w:rsid w:val="21032E75"/>
    <w:rsid w:val="2373298F"/>
    <w:rsid w:val="2449572C"/>
    <w:rsid w:val="2636356A"/>
    <w:rsid w:val="27D86AE1"/>
    <w:rsid w:val="28577A06"/>
    <w:rsid w:val="2AE845D1"/>
    <w:rsid w:val="2E5073D1"/>
    <w:rsid w:val="2F105E81"/>
    <w:rsid w:val="30FD39D4"/>
    <w:rsid w:val="32F1731E"/>
    <w:rsid w:val="340A4177"/>
    <w:rsid w:val="358D1218"/>
    <w:rsid w:val="360509BD"/>
    <w:rsid w:val="37360FC5"/>
    <w:rsid w:val="390B472B"/>
    <w:rsid w:val="3B080524"/>
    <w:rsid w:val="3B8F7349"/>
    <w:rsid w:val="408C5853"/>
    <w:rsid w:val="441E6300"/>
    <w:rsid w:val="4577082E"/>
    <w:rsid w:val="4B5D7247"/>
    <w:rsid w:val="4E992DD9"/>
    <w:rsid w:val="50447285"/>
    <w:rsid w:val="50C37060"/>
    <w:rsid w:val="533F163E"/>
    <w:rsid w:val="552C705C"/>
    <w:rsid w:val="55F834F4"/>
    <w:rsid w:val="57F97B97"/>
    <w:rsid w:val="57FA0049"/>
    <w:rsid w:val="5C7C46C8"/>
    <w:rsid w:val="5CD42C71"/>
    <w:rsid w:val="611B0B6F"/>
    <w:rsid w:val="63BF54E2"/>
    <w:rsid w:val="65091475"/>
    <w:rsid w:val="65A17FA7"/>
    <w:rsid w:val="666D63A3"/>
    <w:rsid w:val="69312D5B"/>
    <w:rsid w:val="6ABB68E5"/>
    <w:rsid w:val="6E5F6E42"/>
    <w:rsid w:val="70493BA2"/>
    <w:rsid w:val="706B17D2"/>
    <w:rsid w:val="74AD3F2D"/>
    <w:rsid w:val="75BB1238"/>
    <w:rsid w:val="77753743"/>
    <w:rsid w:val="789E7920"/>
    <w:rsid w:val="7BF34CA6"/>
    <w:rsid w:val="7D744B16"/>
    <w:rsid w:val="7FAB7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19"/>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7"/>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0"/>
    <w:unhideWhenUsed/>
    <w:qFormat/>
    <w:uiPriority w:val="9"/>
    <w:pPr>
      <w:keepNext/>
      <w:keepLines/>
      <w:ind w:firstLine="200"/>
      <w:jc w:val="left"/>
      <w:outlineLvl w:val="2"/>
    </w:pPr>
    <w:rPr>
      <w:rFonts w:ascii="宋体" w:hAnsi="宋体"/>
      <w:b/>
      <w:bCs/>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8"/>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6">
    <w:name w:val="表头"/>
    <w:basedOn w:val="1"/>
    <w:next w:val="1"/>
    <w:qFormat/>
    <w:uiPriority w:val="0"/>
    <w:pPr>
      <w:spacing w:before="100" w:after="100"/>
      <w:jc w:val="center"/>
    </w:pPr>
    <w:rPr>
      <w:rFonts w:ascii="Times New Roman" w:hAnsi="Times New Roman"/>
      <w:b/>
      <w:bCs/>
      <w:szCs w:val="28"/>
    </w:rPr>
  </w:style>
  <w:style w:type="character" w:customStyle="1" w:styleId="17">
    <w:name w:val="标题 2 字符"/>
    <w:basedOn w:val="14"/>
    <w:link w:val="3"/>
    <w:qFormat/>
    <w:uiPriority w:val="9"/>
    <w:rPr>
      <w:rFonts w:ascii="楷体" w:hAnsi="楷体" w:eastAsia="楷体" w:cstheme="majorBidi"/>
      <w:b/>
      <w:bCs/>
      <w:kern w:val="2"/>
      <w:sz w:val="32"/>
      <w:szCs w:val="32"/>
    </w:rPr>
  </w:style>
  <w:style w:type="character" w:customStyle="1" w:styleId="18">
    <w:name w:val="页脚 字符"/>
    <w:basedOn w:val="14"/>
    <w:link w:val="8"/>
    <w:qFormat/>
    <w:uiPriority w:val="99"/>
    <w:rPr>
      <w:rFonts w:eastAsia="仿宋"/>
      <w:sz w:val="28"/>
      <w:szCs w:val="28"/>
    </w:rPr>
  </w:style>
  <w:style w:type="character" w:customStyle="1" w:styleId="19">
    <w:name w:val="标题 1 字符"/>
    <w:basedOn w:val="14"/>
    <w:link w:val="2"/>
    <w:qFormat/>
    <w:uiPriority w:val="9"/>
    <w:rPr>
      <w:rFonts w:ascii="黑体" w:hAnsi="黑体" w:eastAsia="黑体"/>
      <w:b/>
      <w:bCs/>
      <w:kern w:val="44"/>
      <w:sz w:val="32"/>
      <w:szCs w:val="32"/>
    </w:rPr>
  </w:style>
  <w:style w:type="character" w:customStyle="1" w:styleId="20">
    <w:name w:val="标题 3 字符"/>
    <w:basedOn w:val="14"/>
    <w:link w:val="4"/>
    <w:qFormat/>
    <w:uiPriority w:val="9"/>
    <w:rPr>
      <w:rFonts w:ascii="宋体" w:hAnsi="宋体" w:eastAsia="仿宋"/>
      <w:b/>
      <w:bCs/>
      <w:kern w:val="2"/>
      <w:sz w:val="32"/>
      <w:szCs w:val="32"/>
    </w:rPr>
  </w:style>
  <w:style w:type="character" w:customStyle="1" w:styleId="21">
    <w:name w:val="标题 4 字符"/>
    <w:basedOn w:val="14"/>
    <w:link w:val="5"/>
    <w:semiHidden/>
    <w:qFormat/>
    <w:uiPriority w:val="9"/>
    <w:rPr>
      <w:rFonts w:asciiTheme="majorHAnsi" w:hAnsiTheme="majorHAnsi" w:eastAsiaTheme="majorEastAsia" w:cstheme="majorBidi"/>
      <w:b/>
      <w:bCs/>
      <w:kern w:val="2"/>
      <w:sz w:val="28"/>
      <w:szCs w:val="28"/>
    </w:rPr>
  </w:style>
  <w:style w:type="paragraph" w:customStyle="1" w:styleId="22">
    <w:name w:val="本模板"/>
    <w:basedOn w:val="1"/>
    <w:next w:val="1"/>
    <w:qFormat/>
    <w:uiPriority w:val="0"/>
    <w:pPr>
      <w:ind w:firstLine="0" w:firstLineChars="0"/>
      <w:jc w:val="center"/>
    </w:pPr>
  </w:style>
  <w:style w:type="paragraph" w:customStyle="1" w:styleId="23">
    <w:name w:val="由"/>
    <w:basedOn w:val="1"/>
    <w:qFormat/>
    <w:uiPriority w:val="0"/>
    <w:pPr>
      <w:ind w:firstLine="0" w:firstLineChars="0"/>
      <w:jc w:val="center"/>
    </w:pPr>
  </w:style>
  <w:style w:type="paragraph" w:customStyle="1" w:styleId="24">
    <w:name w:val="昭元绩效"/>
    <w:basedOn w:val="1"/>
    <w:qFormat/>
    <w:uiPriority w:val="0"/>
    <w:pPr>
      <w:spacing w:line="360" w:lineRule="auto"/>
      <w:ind w:firstLine="0" w:firstLineChars="0"/>
      <w:jc w:val="center"/>
    </w:pPr>
    <w:rPr>
      <w:rFonts w:eastAsia="宋体"/>
      <w:b/>
      <w:bCs/>
      <w:sz w:val="44"/>
      <w:szCs w:val="44"/>
    </w:rPr>
  </w:style>
  <w:style w:type="paragraph" w:customStyle="1" w:styleId="25">
    <w:name w:val="提供"/>
    <w:basedOn w:val="1"/>
    <w:qFormat/>
    <w:uiPriority w:val="0"/>
    <w:pPr>
      <w:ind w:firstLine="0" w:firstLineChars="0"/>
      <w:jc w:val="center"/>
    </w:pPr>
  </w:style>
  <w:style w:type="paragraph" w:customStyle="1" w:styleId="26">
    <w:name w:val="版权所有"/>
    <w:basedOn w:val="1"/>
    <w:qFormat/>
    <w:uiPriority w:val="0"/>
    <w:pPr>
      <w:ind w:firstLine="0" w:firstLineChars="0"/>
      <w:jc w:val="center"/>
    </w:pPr>
  </w:style>
  <w:style w:type="paragraph" w:customStyle="1" w:styleId="27">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11</Pages>
  <Words>3691</Words>
  <Characters>3851</Characters>
  <Lines>42</Lines>
  <Paragraphs>11</Paragraphs>
  <TotalTime>2</TotalTime>
  <ScaleCrop>false</ScaleCrop>
  <LinksUpToDate>false</LinksUpToDate>
  <CharactersWithSpaces>3880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dcterms:modified xsi:type="dcterms:W3CDTF">2022-09-06T02:07:36Z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