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7C0235">
      <w:pPr>
        <w:ind w:left="0" w:leftChars="0" w:firstLine="361" w:firstLineChars="100"/>
        <w:rPr>
          <w:rFonts w:hint="eastAsia"/>
          <w:b/>
          <w:bCs/>
          <w:sz w:val="36"/>
          <w:szCs w:val="36"/>
          <w:lang w:val="en-US"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《</w:t>
      </w:r>
      <w:r>
        <w:rPr>
          <w:rFonts w:hint="eastAsia"/>
          <w:b/>
          <w:bCs/>
          <w:sz w:val="36"/>
          <w:szCs w:val="36"/>
          <w:lang w:val="en-US" w:eastAsia="zh-CN"/>
        </w:rPr>
        <w:t>太康县中心城区J-09街坊控规图则调整论证及</w:t>
      </w:r>
    </w:p>
    <w:p w14:paraId="3455CAA2">
      <w:pPr>
        <w:ind w:left="0" w:leftChars="0" w:firstLine="3253" w:firstLineChars="900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方案</w:t>
      </w:r>
      <w:r>
        <w:rPr>
          <w:rFonts w:hint="eastAsia"/>
          <w:b/>
          <w:bCs/>
          <w:sz w:val="36"/>
          <w:szCs w:val="36"/>
          <w:lang w:eastAsia="zh-CN"/>
        </w:rPr>
        <w:t>》</w:t>
      </w:r>
    </w:p>
    <w:p w14:paraId="30BD318E">
      <w:pPr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一、调整范围</w:t>
      </w:r>
    </w:p>
    <w:p w14:paraId="135D711D">
      <w:pP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本次调整街坊位于太康县中心城区内，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商贸南路、灵运路、银城南路、国连路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所围合的区域。</w:t>
      </w:r>
    </w:p>
    <w:p w14:paraId="3E4AA058">
      <w:pP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二、调整的主要内容</w:t>
      </w:r>
    </w:p>
    <w:p w14:paraId="66F5325B">
      <w:pPr>
        <w:bidi w:val="0"/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本次调整在原地块内部增加一条东西向和一条南北向的支路，原控规J-09-01公园绿地调整为J-09-01公园绿地、J-09-04公园绿地；原控规J-09-02体育用地调整为J-09-02公园绿地、J-09-03商业用地、J-09-05防护绿地、J-09-06二类工业用地、J-09-07公园绿地、J-09-08商业用地、J-09-09防护绿地、J-09-10防护绿地、J-09-11二类工业用地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。</w:t>
      </w:r>
    </w:p>
    <w:p w14:paraId="63D3338E">
      <w:pPr>
        <w:bidi w:val="0"/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1、原控规要求：</w:t>
      </w:r>
    </w:p>
    <w:p w14:paraId="54C05314">
      <w:pPr>
        <w:bidi w:val="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J-09-01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为公园绿地（1401），面积为13640.16m</w:t>
      </w:r>
      <w:r>
        <w:rPr>
          <w:rFonts w:hint="eastAsia" w:ascii="仿宋" w:hAnsi="仿宋" w:eastAsia="仿宋" w:cs="仿宋"/>
          <w:sz w:val="30"/>
          <w:szCs w:val="30"/>
          <w:vertAlign w:val="superscript"/>
          <w:lang w:val="en-US" w:eastAsia="zh-CN"/>
        </w:rPr>
        <w:t>2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，容积率为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≤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0.05，建筑密度为＜1%</w:t>
      </w:r>
      <w:r>
        <w:rPr>
          <w:rFonts w:hint="eastAsia" w:ascii="仿宋" w:hAnsi="仿宋" w:eastAsia="仿宋" w:cs="仿宋"/>
          <w:sz w:val="30"/>
          <w:szCs w:val="30"/>
        </w:rPr>
        <w:t>，建筑限高为≤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12m，</w:t>
      </w:r>
      <w:r>
        <w:rPr>
          <w:rFonts w:hint="eastAsia" w:ascii="仿宋" w:hAnsi="仿宋" w:eastAsia="仿宋" w:cs="仿宋"/>
          <w:sz w:val="30"/>
          <w:szCs w:val="30"/>
        </w:rPr>
        <w:t>绿地率为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＞65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%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。</w:t>
      </w:r>
    </w:p>
    <w:p w14:paraId="04EB0CEE">
      <w:pPr>
        <w:bidi w:val="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J-09-02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为体育用地（0805），面积为273562.18m</w:t>
      </w:r>
      <w:r>
        <w:rPr>
          <w:rFonts w:hint="eastAsia" w:ascii="仿宋" w:hAnsi="仿宋" w:eastAsia="仿宋" w:cs="仿宋"/>
          <w:sz w:val="30"/>
          <w:szCs w:val="30"/>
          <w:vertAlign w:val="superscript"/>
          <w:lang w:val="en-US" w:eastAsia="zh-CN"/>
        </w:rPr>
        <w:t>2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，容积率为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≤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1.0，建筑密度为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≤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25%</w:t>
      </w:r>
      <w:r>
        <w:rPr>
          <w:rFonts w:hint="eastAsia" w:ascii="仿宋" w:hAnsi="仿宋" w:eastAsia="仿宋" w:cs="仿宋"/>
          <w:sz w:val="30"/>
          <w:szCs w:val="30"/>
        </w:rPr>
        <w:t>，建筑限高为≤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40m，</w:t>
      </w:r>
      <w:r>
        <w:rPr>
          <w:rFonts w:hint="eastAsia" w:ascii="仿宋" w:hAnsi="仿宋" w:eastAsia="仿宋" w:cs="仿宋"/>
          <w:sz w:val="30"/>
          <w:szCs w:val="30"/>
        </w:rPr>
        <w:t>绿地率为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≥25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%，地块出入口位置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东侧、南侧、北侧。</w:t>
      </w:r>
    </w:p>
    <w:p w14:paraId="0F2B194D">
      <w:pP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2、调整后要求</w:t>
      </w:r>
    </w:p>
    <w:p w14:paraId="4F3A7D49">
      <w:pPr>
        <w:bidi w:val="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J-09-01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为公园绿地（1401），面积为2631.41m</w:t>
      </w:r>
      <w:r>
        <w:rPr>
          <w:rFonts w:hint="eastAsia" w:ascii="仿宋" w:hAnsi="仿宋" w:eastAsia="仿宋" w:cs="仿宋"/>
          <w:sz w:val="30"/>
          <w:szCs w:val="30"/>
          <w:vertAlign w:val="superscript"/>
          <w:lang w:val="en-US" w:eastAsia="zh-CN"/>
        </w:rPr>
        <w:t>2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，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容积率≤0.05，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建筑密度为＜1%</w:t>
      </w:r>
      <w:r>
        <w:rPr>
          <w:rFonts w:hint="eastAsia" w:ascii="仿宋" w:hAnsi="仿宋" w:eastAsia="仿宋" w:cs="仿宋"/>
          <w:sz w:val="30"/>
          <w:szCs w:val="30"/>
        </w:rPr>
        <w:t>，建筑限高为≤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12m，</w:t>
      </w:r>
      <w:r>
        <w:rPr>
          <w:rFonts w:hint="eastAsia" w:ascii="仿宋" w:hAnsi="仿宋" w:eastAsia="仿宋" w:cs="仿宋"/>
          <w:sz w:val="30"/>
          <w:szCs w:val="30"/>
        </w:rPr>
        <w:t>绿地率为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＞65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%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。</w:t>
      </w:r>
    </w:p>
    <w:p w14:paraId="3793416D">
      <w:pPr>
        <w:bidi w:val="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J-09-02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为公园绿地（1401），面积为2760.69m</w:t>
      </w:r>
      <w:r>
        <w:rPr>
          <w:rFonts w:hint="eastAsia" w:ascii="仿宋" w:hAnsi="仿宋" w:eastAsia="仿宋" w:cs="仿宋"/>
          <w:sz w:val="30"/>
          <w:szCs w:val="30"/>
          <w:vertAlign w:val="superscript"/>
          <w:lang w:val="en-US" w:eastAsia="zh-CN"/>
        </w:rPr>
        <w:t>2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，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容积率≤0.05，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建筑密度为＜1%</w:t>
      </w:r>
      <w:r>
        <w:rPr>
          <w:rFonts w:hint="eastAsia" w:ascii="仿宋" w:hAnsi="仿宋" w:eastAsia="仿宋" w:cs="仿宋"/>
          <w:sz w:val="30"/>
          <w:szCs w:val="30"/>
        </w:rPr>
        <w:t>，建筑限高为≤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12m，</w:t>
      </w:r>
      <w:r>
        <w:rPr>
          <w:rFonts w:hint="eastAsia" w:ascii="仿宋" w:hAnsi="仿宋" w:eastAsia="仿宋" w:cs="仿宋"/>
          <w:sz w:val="30"/>
          <w:szCs w:val="30"/>
        </w:rPr>
        <w:t>绿地率为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＞65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%。</w:t>
      </w:r>
    </w:p>
    <w:p w14:paraId="63C79DB1">
      <w:pPr>
        <w:bidi w:val="0"/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J-09-03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为商业用地（0901），面积为43171.46m</w:t>
      </w:r>
      <w:r>
        <w:rPr>
          <w:rFonts w:hint="eastAsia" w:ascii="仿宋" w:hAnsi="仿宋" w:eastAsia="仿宋" w:cs="仿宋"/>
          <w:sz w:val="30"/>
          <w:szCs w:val="30"/>
          <w:vertAlign w:val="superscript"/>
          <w:lang w:val="en-US" w:eastAsia="zh-CN"/>
        </w:rPr>
        <w:t>2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，容积率≤4.0，建筑密度为≤45%</w:t>
      </w:r>
      <w:r>
        <w:rPr>
          <w:rFonts w:hint="eastAsia" w:ascii="仿宋" w:hAnsi="仿宋" w:eastAsia="仿宋" w:cs="仿宋"/>
          <w:sz w:val="30"/>
          <w:szCs w:val="30"/>
        </w:rPr>
        <w:t>，建筑限高为≤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80m，</w:t>
      </w:r>
      <w:r>
        <w:rPr>
          <w:rFonts w:hint="eastAsia" w:ascii="仿宋" w:hAnsi="仿宋" w:eastAsia="仿宋" w:cs="仿宋"/>
          <w:sz w:val="30"/>
          <w:szCs w:val="30"/>
        </w:rPr>
        <w:t>绿地率为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≥20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%，</w:t>
      </w:r>
      <w:r>
        <w:rPr>
          <w:rFonts w:hint="eastAsia" w:ascii="仿宋" w:hAnsi="仿宋" w:eastAsia="仿宋" w:cs="仿宋"/>
          <w:sz w:val="30"/>
          <w:szCs w:val="30"/>
          <w:highlight w:val="none"/>
          <w:lang w:eastAsia="zh-CN"/>
        </w:rPr>
        <w:t>配建机动车停车位</w:t>
      </w:r>
      <w:r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  <w:t>0.8车位/客房，充电车位不少于15%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。配建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非机动车停车位</w:t>
      </w:r>
      <w:r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  <w:t>0.2车位/客房，充电车位不少于15%，共享单车停车位不少于10%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。地块出入口位置为东侧、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南侧、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北侧，用地兼容性调整为兼容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商务金融用地。</w:t>
      </w:r>
    </w:p>
    <w:p w14:paraId="24C5BB58">
      <w:pPr>
        <w:bidi w:val="0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J-09-04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为公园绿地（1401），用地面积为5503.39m</w:t>
      </w:r>
      <w:r>
        <w:rPr>
          <w:rFonts w:hint="eastAsia" w:ascii="仿宋" w:hAnsi="仿宋" w:eastAsia="仿宋" w:cs="仿宋"/>
          <w:sz w:val="30"/>
          <w:szCs w:val="30"/>
          <w:vertAlign w:val="superscript"/>
          <w:lang w:val="en-US" w:eastAsia="zh-CN"/>
        </w:rPr>
        <w:t>2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，容积率≤0.05，建筑密度为＜1%，建筑限高为≤12m，</w:t>
      </w:r>
      <w:r>
        <w:rPr>
          <w:rFonts w:hint="eastAsia" w:ascii="仿宋" w:hAnsi="仿宋" w:eastAsia="仿宋" w:cs="仿宋"/>
          <w:sz w:val="30"/>
          <w:szCs w:val="30"/>
        </w:rPr>
        <w:t>绿地率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＞65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%</w:t>
      </w:r>
      <w:r>
        <w:rPr>
          <w:rFonts w:hint="eastAsia" w:ascii="仿宋" w:hAnsi="仿宋" w:eastAsia="仿宋" w:cs="仿宋"/>
          <w:sz w:val="30"/>
          <w:szCs w:val="30"/>
        </w:rPr>
        <w:t>。</w:t>
      </w:r>
    </w:p>
    <w:p w14:paraId="342354AB">
      <w:pPr>
        <w:bidi w:val="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J-09-05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为防护绿地（1402），用地面积为2750.01m</w:t>
      </w:r>
      <w:r>
        <w:rPr>
          <w:rFonts w:hint="eastAsia" w:ascii="仿宋" w:hAnsi="仿宋" w:eastAsia="仿宋" w:cs="仿宋"/>
          <w:sz w:val="30"/>
          <w:szCs w:val="30"/>
          <w:vertAlign w:val="superscript"/>
          <w:lang w:val="en-US" w:eastAsia="zh-CN"/>
        </w:rPr>
        <w:t>2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，</w:t>
      </w:r>
      <w:r>
        <w:rPr>
          <w:rFonts w:hint="eastAsia" w:ascii="仿宋" w:hAnsi="仿宋" w:eastAsia="仿宋" w:cs="仿宋"/>
          <w:sz w:val="30"/>
          <w:szCs w:val="30"/>
        </w:rPr>
        <w:t>绿地率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≥95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%。</w:t>
      </w:r>
    </w:p>
    <w:p w14:paraId="7C722898">
      <w:pPr>
        <w:bidi w:val="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J-09-06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为二类工业用地（100102），面积为83416.62m</w:t>
      </w:r>
      <w:r>
        <w:rPr>
          <w:rFonts w:hint="eastAsia" w:ascii="仿宋" w:hAnsi="仿宋" w:eastAsia="仿宋" w:cs="仿宋"/>
          <w:sz w:val="30"/>
          <w:szCs w:val="30"/>
          <w:vertAlign w:val="superscript"/>
          <w:lang w:val="en-US" w:eastAsia="zh-CN"/>
        </w:rPr>
        <w:t>2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，容积率≥1.0，建筑密度为≥40%</w:t>
      </w:r>
      <w:r>
        <w:rPr>
          <w:rFonts w:hint="eastAsia" w:ascii="仿宋" w:hAnsi="仿宋" w:eastAsia="仿宋" w:cs="仿宋"/>
          <w:sz w:val="30"/>
          <w:szCs w:val="30"/>
        </w:rPr>
        <w:t>，建筑限高为≤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40m，</w:t>
      </w:r>
      <w:r>
        <w:rPr>
          <w:rFonts w:hint="eastAsia" w:ascii="仿宋" w:hAnsi="仿宋" w:eastAsia="仿宋" w:cs="仿宋"/>
          <w:sz w:val="30"/>
          <w:szCs w:val="30"/>
        </w:rPr>
        <w:t>绿地率为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≤15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%，</w:t>
      </w:r>
      <w:r>
        <w:rPr>
          <w:rFonts w:hint="eastAsia" w:ascii="仿宋" w:hAnsi="仿宋" w:eastAsia="仿宋" w:cs="仿宋"/>
          <w:sz w:val="30"/>
          <w:szCs w:val="30"/>
          <w:highlight w:val="none"/>
          <w:lang w:eastAsia="zh-CN"/>
        </w:rPr>
        <w:t>配建机动车停车位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不少于0.2车位/100㎡普通工业厂房建筑面积，1.0车位/100㎡配套行政办公及生活服务设施建筑面积，充电车位≥10%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。配建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非机动车停车位</w:t>
      </w:r>
      <w:r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  <w:t>不少于3车位/100㎡行政办公和生活服务设施建筑面积，充电车位≥15%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。地块出入口位置为东侧、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南侧、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北侧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。配套行政办公和生活服务设施占地面积不得超过总用地面积的7%，建筑面积不得超过总建筑面积的15%。</w:t>
      </w:r>
    </w:p>
    <w:p w14:paraId="1145C3E6">
      <w:pPr>
        <w:bidi w:val="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J-09-07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为公园绿地（1401），用地面积为2380.43m</w:t>
      </w:r>
      <w:r>
        <w:rPr>
          <w:rFonts w:hint="eastAsia" w:ascii="仿宋" w:hAnsi="仿宋" w:eastAsia="仿宋" w:cs="仿宋"/>
          <w:sz w:val="30"/>
          <w:szCs w:val="30"/>
          <w:vertAlign w:val="superscript"/>
          <w:lang w:val="en-US" w:eastAsia="zh-CN"/>
        </w:rPr>
        <w:t>2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，容积率≤0.05，建筑密度为＜1%，建筑限高为≤12m，</w:t>
      </w:r>
      <w:r>
        <w:rPr>
          <w:rFonts w:hint="eastAsia" w:ascii="仿宋" w:hAnsi="仿宋" w:eastAsia="仿宋" w:cs="仿宋"/>
          <w:sz w:val="30"/>
          <w:szCs w:val="30"/>
        </w:rPr>
        <w:t>绿地率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＞65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%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。</w:t>
      </w:r>
    </w:p>
    <w:p w14:paraId="135B2A97">
      <w:pPr>
        <w:bidi w:val="0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J-09-08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为商业用地（0901），面积为38121.20m</w:t>
      </w:r>
      <w:r>
        <w:rPr>
          <w:rFonts w:hint="eastAsia" w:ascii="仿宋" w:hAnsi="仿宋" w:eastAsia="仿宋" w:cs="仿宋"/>
          <w:sz w:val="30"/>
          <w:szCs w:val="30"/>
          <w:vertAlign w:val="superscript"/>
          <w:lang w:val="en-US" w:eastAsia="zh-CN"/>
        </w:rPr>
        <w:t>2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，容积率≤4.0，建筑密度为≤45%</w:t>
      </w:r>
      <w:r>
        <w:rPr>
          <w:rFonts w:hint="eastAsia" w:ascii="仿宋" w:hAnsi="仿宋" w:eastAsia="仿宋" w:cs="仿宋"/>
          <w:sz w:val="30"/>
          <w:szCs w:val="30"/>
        </w:rPr>
        <w:t>，建筑限高为≤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80m，</w:t>
      </w:r>
      <w:r>
        <w:rPr>
          <w:rFonts w:hint="eastAsia" w:ascii="仿宋" w:hAnsi="仿宋" w:eastAsia="仿宋" w:cs="仿宋"/>
          <w:sz w:val="30"/>
          <w:szCs w:val="30"/>
        </w:rPr>
        <w:t>绿地率为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≥20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%，</w:t>
      </w:r>
      <w:r>
        <w:rPr>
          <w:rFonts w:hint="eastAsia" w:ascii="仿宋" w:hAnsi="仿宋" w:eastAsia="仿宋" w:cs="仿宋"/>
          <w:sz w:val="30"/>
          <w:szCs w:val="30"/>
          <w:highlight w:val="none"/>
          <w:lang w:eastAsia="zh-CN"/>
        </w:rPr>
        <w:t>配建机动车停车位</w:t>
      </w:r>
      <w:r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  <w:t>0.8车位/客房，充电车位不少于15%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。配建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非机动车停车位</w:t>
      </w:r>
      <w:r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  <w:t>0.2车位/客房，充电车位不少于15%，共享单车停车位不少于10%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。地块出入口位置为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西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侧、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南侧、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北侧，用地兼容性调整为兼容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商务金融用地。</w:t>
      </w:r>
    </w:p>
    <w:p w14:paraId="6625A9E1">
      <w:pPr>
        <w:bidi w:val="0"/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J-09-09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为防护绿地（1402），用地面积为1261.08m</w:t>
      </w:r>
      <w:r>
        <w:rPr>
          <w:rFonts w:hint="eastAsia" w:ascii="仿宋" w:hAnsi="仿宋" w:eastAsia="仿宋" w:cs="仿宋"/>
          <w:sz w:val="30"/>
          <w:szCs w:val="30"/>
          <w:vertAlign w:val="superscript"/>
          <w:lang w:val="en-US" w:eastAsia="zh-CN"/>
        </w:rPr>
        <w:t>2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，</w:t>
      </w:r>
      <w:r>
        <w:rPr>
          <w:rFonts w:hint="eastAsia" w:ascii="仿宋" w:hAnsi="仿宋" w:eastAsia="仿宋" w:cs="仿宋"/>
          <w:sz w:val="30"/>
          <w:szCs w:val="30"/>
        </w:rPr>
        <w:t>绿地率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≥95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%。</w:t>
      </w:r>
    </w:p>
    <w:p w14:paraId="69BC9486">
      <w:pPr>
        <w:bidi w:val="0"/>
        <w:rPr>
          <w:rFonts w:hint="eastAsia" w:ascii="仿宋" w:hAnsi="仿宋" w:eastAsia="仿宋" w:cs="仿宋"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J-09-10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为防护绿地（1402），用地面积为2447.44m</w:t>
      </w:r>
      <w:r>
        <w:rPr>
          <w:rFonts w:hint="eastAsia" w:ascii="仿宋" w:hAnsi="仿宋" w:eastAsia="仿宋" w:cs="仿宋"/>
          <w:sz w:val="30"/>
          <w:szCs w:val="30"/>
          <w:vertAlign w:val="superscript"/>
          <w:lang w:val="en-US" w:eastAsia="zh-CN"/>
        </w:rPr>
        <w:t>2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，</w:t>
      </w:r>
      <w:r>
        <w:rPr>
          <w:rFonts w:hint="eastAsia" w:ascii="仿宋" w:hAnsi="仿宋" w:eastAsia="仿宋" w:cs="仿宋"/>
          <w:sz w:val="30"/>
          <w:szCs w:val="30"/>
        </w:rPr>
        <w:t>绿地率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≥95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%。</w:t>
      </w:r>
    </w:p>
    <w:p w14:paraId="7F4704B5">
      <w:pPr>
        <w:bidi w:val="0"/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J-09-11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为二类工业用地（100102），面积为78811.07m</w:t>
      </w:r>
      <w:r>
        <w:rPr>
          <w:rFonts w:hint="eastAsia" w:ascii="仿宋" w:hAnsi="仿宋" w:eastAsia="仿宋" w:cs="仿宋"/>
          <w:sz w:val="30"/>
          <w:szCs w:val="30"/>
          <w:vertAlign w:val="superscript"/>
          <w:lang w:val="en-US" w:eastAsia="zh-CN"/>
        </w:rPr>
        <w:t>2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，容积率≥1.0，建筑密度为≥40%</w:t>
      </w:r>
      <w:r>
        <w:rPr>
          <w:rFonts w:hint="eastAsia" w:ascii="仿宋" w:hAnsi="仿宋" w:eastAsia="仿宋" w:cs="仿宋"/>
          <w:sz w:val="30"/>
          <w:szCs w:val="30"/>
        </w:rPr>
        <w:t>，建筑限高为≤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40m，</w:t>
      </w:r>
      <w:r>
        <w:rPr>
          <w:rFonts w:hint="eastAsia" w:ascii="仿宋" w:hAnsi="仿宋" w:eastAsia="仿宋" w:cs="仿宋"/>
          <w:sz w:val="30"/>
          <w:szCs w:val="30"/>
        </w:rPr>
        <w:t>绿地率为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≤15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%，</w:t>
      </w:r>
      <w:r>
        <w:rPr>
          <w:rFonts w:hint="eastAsia" w:ascii="仿宋" w:hAnsi="仿宋" w:eastAsia="仿宋" w:cs="仿宋"/>
          <w:sz w:val="30"/>
          <w:szCs w:val="30"/>
          <w:highlight w:val="none"/>
          <w:lang w:eastAsia="zh-CN"/>
        </w:rPr>
        <w:t>配建机动车停车位</w:t>
      </w:r>
      <w:r>
        <w:rPr>
          <w:rFonts w:hint="eastAsia" w:ascii="仿宋" w:hAnsi="仿宋" w:eastAsia="仿宋" w:cs="仿宋"/>
          <w:sz w:val="30"/>
          <w:szCs w:val="30"/>
          <w:highlight w:val="none"/>
          <w:lang w:val="en-US" w:eastAsia="zh-CN"/>
        </w:rPr>
        <w:t>不少于0.2车位/100㎡普通工业厂房建筑面积，1.0车位/100㎡配套行政办公及生活服务设施建筑面积，充电车位≥10%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。配建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非机动车停车位</w:t>
      </w:r>
      <w:r>
        <w:rPr>
          <w:rFonts w:hint="eastAsia" w:ascii="仿宋" w:hAnsi="仿宋" w:eastAsia="仿宋" w:cs="仿宋"/>
          <w:sz w:val="30"/>
          <w:szCs w:val="30"/>
          <w:u w:val="none"/>
          <w:lang w:val="en-US" w:eastAsia="zh-CN"/>
        </w:rPr>
        <w:t>不少于3车位/100㎡行政办公和生活服务设施建筑面积，充电车位≥15%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。地块出入口位置为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东侧、西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侧、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南侧、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北侧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。配套行政办公和生活服务设施占地面积不得超过总用地面积的7%，建筑面积不得超过总建筑面积的15%。</w:t>
      </w:r>
      <w:bookmarkStart w:id="0" w:name="_GoBack"/>
      <w:bookmarkEnd w:id="0"/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797" w:bottom="1440" w:left="1797" w:header="851" w:footer="708" w:gutter="0"/>
      <w:cols w:space="961" w:num="1"/>
      <w:docGrid w:type="lines" w:linePitch="326" w:charSpace="-450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480"/>
      </w:pPr>
      <w:r>
        <w:separator/>
      </w:r>
    </w:p>
  </w:endnote>
  <w:endnote w:type="continuationSeparator" w:id="1">
    <w:p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889B9C2">
    <w:pPr>
      <w:pStyle w:val="9"/>
      <w:ind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1571CFE">
    <w:pPr>
      <w:pStyle w:val="9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D188F48">
    <w:pPr>
      <w:pStyle w:val="9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480"/>
      </w:pPr>
      <w:r>
        <w:separator/>
      </w:r>
    </w:p>
  </w:footnote>
  <w:footnote w:type="continuationSeparator" w:id="1">
    <w:p>
      <w:pPr>
        <w:spacing w:line="36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6A37F83">
    <w:pPr>
      <w:pStyle w:val="10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FC58CA">
    <w:pPr>
      <w:pStyle w:val="10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1EC199A">
    <w:pPr>
      <w:pStyle w:val="10"/>
      <w:ind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DD84BCE"/>
    <w:multiLevelType w:val="multilevel"/>
    <w:tmpl w:val="0DD84BCE"/>
    <w:lvl w:ilvl="0" w:tentative="0">
      <w:start w:val="1"/>
      <w:numFmt w:val="chineseCountingThousand"/>
      <w:pStyle w:val="4"/>
      <w:lvlText w:val="(%1)"/>
      <w:lvlJc w:val="left"/>
      <w:pPr>
        <w:ind w:left="620" w:hanging="420"/>
      </w:p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1">
    <w:nsid w:val="38927112"/>
    <w:multiLevelType w:val="multilevel"/>
    <w:tmpl w:val="38927112"/>
    <w:lvl w:ilvl="0" w:tentative="0">
      <w:start w:val="1"/>
      <w:numFmt w:val="chineseCountingThousand"/>
      <w:pStyle w:val="3"/>
      <w:lvlText w:val="%1、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4E0B3C7D"/>
    <w:multiLevelType w:val="multilevel"/>
    <w:tmpl w:val="4E0B3C7D"/>
    <w:lvl w:ilvl="0" w:tentative="0">
      <w:start w:val="1"/>
      <w:numFmt w:val="decimal"/>
      <w:pStyle w:val="5"/>
      <w:lvlText w:val="%1、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3">
    <w:nsid w:val="57924099"/>
    <w:multiLevelType w:val="multilevel"/>
    <w:tmpl w:val="57924099"/>
    <w:lvl w:ilvl="0" w:tentative="0">
      <w:start w:val="1"/>
      <w:numFmt w:val="chineseCountingThousand"/>
      <w:pStyle w:val="2"/>
      <w:lvlText w:val="第%1章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abstractNum w:abstractNumId="4">
    <w:nsid w:val="7C4771F2"/>
    <w:multiLevelType w:val="multilevel"/>
    <w:tmpl w:val="7C4771F2"/>
    <w:lvl w:ilvl="0" w:tentative="0">
      <w:start w:val="1"/>
      <w:numFmt w:val="decimal"/>
      <w:pStyle w:val="6"/>
      <w:lvlText w:val="(%1) "/>
      <w:lvlJc w:val="left"/>
      <w:pPr>
        <w:ind w:left="6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1040" w:hanging="420"/>
      </w:pPr>
    </w:lvl>
    <w:lvl w:ilvl="2" w:tentative="0">
      <w:start w:val="1"/>
      <w:numFmt w:val="lowerRoman"/>
      <w:lvlText w:val="%3."/>
      <w:lvlJc w:val="right"/>
      <w:pPr>
        <w:ind w:left="1460" w:hanging="420"/>
      </w:pPr>
    </w:lvl>
    <w:lvl w:ilvl="3" w:tentative="0">
      <w:start w:val="1"/>
      <w:numFmt w:val="decimal"/>
      <w:lvlText w:val="%4."/>
      <w:lvlJc w:val="left"/>
      <w:pPr>
        <w:ind w:left="1880" w:hanging="420"/>
      </w:pPr>
    </w:lvl>
    <w:lvl w:ilvl="4" w:tentative="0">
      <w:start w:val="1"/>
      <w:numFmt w:val="lowerLetter"/>
      <w:lvlText w:val="%5)"/>
      <w:lvlJc w:val="left"/>
      <w:pPr>
        <w:ind w:left="2300" w:hanging="420"/>
      </w:pPr>
    </w:lvl>
    <w:lvl w:ilvl="5" w:tentative="0">
      <w:start w:val="1"/>
      <w:numFmt w:val="lowerRoman"/>
      <w:lvlText w:val="%6."/>
      <w:lvlJc w:val="right"/>
      <w:pPr>
        <w:ind w:left="2720" w:hanging="420"/>
      </w:pPr>
    </w:lvl>
    <w:lvl w:ilvl="6" w:tentative="0">
      <w:start w:val="1"/>
      <w:numFmt w:val="decimal"/>
      <w:lvlText w:val="%7."/>
      <w:lvlJc w:val="left"/>
      <w:pPr>
        <w:ind w:left="3140" w:hanging="420"/>
      </w:pPr>
    </w:lvl>
    <w:lvl w:ilvl="7" w:tentative="0">
      <w:start w:val="1"/>
      <w:numFmt w:val="lowerLetter"/>
      <w:lvlText w:val="%8)"/>
      <w:lvlJc w:val="left"/>
      <w:pPr>
        <w:ind w:left="3560" w:hanging="420"/>
      </w:pPr>
    </w:lvl>
    <w:lvl w:ilvl="8" w:tentative="0">
      <w:start w:val="1"/>
      <w:numFmt w:val="lowerRoman"/>
      <w:lvlText w:val="%9."/>
      <w:lvlJc w:val="right"/>
      <w:pPr>
        <w:ind w:left="39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0"/>
  <w:bordersDoNotSurroundFooter w:val="0"/>
  <w:documentProtection w:enforcement="0"/>
  <w:defaultTabStop w:val="421"/>
  <w:drawingGridHorizontalSpacing w:val="109"/>
  <w:drawingGridVerticalSpacing w:val="163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jVkYTY3NDQ0MjNiZTZmMWMxMDE4MDZkNDg1ZDY2MTgifQ=="/>
  </w:docVars>
  <w:rsids>
    <w:rsidRoot w:val="009A480D"/>
    <w:rsid w:val="000527EB"/>
    <w:rsid w:val="000854D4"/>
    <w:rsid w:val="00093222"/>
    <w:rsid w:val="000A17F5"/>
    <w:rsid w:val="000F58FF"/>
    <w:rsid w:val="00177223"/>
    <w:rsid w:val="001B605A"/>
    <w:rsid w:val="001C31ED"/>
    <w:rsid w:val="001E333C"/>
    <w:rsid w:val="001E390C"/>
    <w:rsid w:val="002076B0"/>
    <w:rsid w:val="00214E77"/>
    <w:rsid w:val="00235CE8"/>
    <w:rsid w:val="002438D8"/>
    <w:rsid w:val="00244912"/>
    <w:rsid w:val="00255FCC"/>
    <w:rsid w:val="00262048"/>
    <w:rsid w:val="00272821"/>
    <w:rsid w:val="00273575"/>
    <w:rsid w:val="00277C3D"/>
    <w:rsid w:val="00292FD5"/>
    <w:rsid w:val="002D7DF2"/>
    <w:rsid w:val="003434AA"/>
    <w:rsid w:val="00412E42"/>
    <w:rsid w:val="00441C06"/>
    <w:rsid w:val="00465D20"/>
    <w:rsid w:val="004A03F4"/>
    <w:rsid w:val="004C5E54"/>
    <w:rsid w:val="004D1AC1"/>
    <w:rsid w:val="004E1EDB"/>
    <w:rsid w:val="004F1B3D"/>
    <w:rsid w:val="0052436B"/>
    <w:rsid w:val="00530FEE"/>
    <w:rsid w:val="005544C1"/>
    <w:rsid w:val="00567519"/>
    <w:rsid w:val="00577985"/>
    <w:rsid w:val="005E20A1"/>
    <w:rsid w:val="00612304"/>
    <w:rsid w:val="0061408F"/>
    <w:rsid w:val="00627B3D"/>
    <w:rsid w:val="00656638"/>
    <w:rsid w:val="00704A89"/>
    <w:rsid w:val="00722FAB"/>
    <w:rsid w:val="00741725"/>
    <w:rsid w:val="00747522"/>
    <w:rsid w:val="00781193"/>
    <w:rsid w:val="007A1167"/>
    <w:rsid w:val="00852436"/>
    <w:rsid w:val="008819A2"/>
    <w:rsid w:val="008B6413"/>
    <w:rsid w:val="008C6966"/>
    <w:rsid w:val="00901A96"/>
    <w:rsid w:val="00914384"/>
    <w:rsid w:val="00955F63"/>
    <w:rsid w:val="00956E5D"/>
    <w:rsid w:val="00973EAE"/>
    <w:rsid w:val="00986A60"/>
    <w:rsid w:val="0099380B"/>
    <w:rsid w:val="009977D7"/>
    <w:rsid w:val="009A480D"/>
    <w:rsid w:val="009C2BFD"/>
    <w:rsid w:val="009D5C04"/>
    <w:rsid w:val="009E5F29"/>
    <w:rsid w:val="00A10F66"/>
    <w:rsid w:val="00A65B95"/>
    <w:rsid w:val="00AA14A1"/>
    <w:rsid w:val="00AC469A"/>
    <w:rsid w:val="00AE57F4"/>
    <w:rsid w:val="00B11BBD"/>
    <w:rsid w:val="00B20816"/>
    <w:rsid w:val="00B342C0"/>
    <w:rsid w:val="00BB6E76"/>
    <w:rsid w:val="00BC6779"/>
    <w:rsid w:val="00BE5D4F"/>
    <w:rsid w:val="00BF6494"/>
    <w:rsid w:val="00C25BE1"/>
    <w:rsid w:val="00C8356C"/>
    <w:rsid w:val="00CE0EB7"/>
    <w:rsid w:val="00D15F5E"/>
    <w:rsid w:val="00D21D77"/>
    <w:rsid w:val="00D6134B"/>
    <w:rsid w:val="00D77461"/>
    <w:rsid w:val="00D95C61"/>
    <w:rsid w:val="00D96A5B"/>
    <w:rsid w:val="00DB1C8D"/>
    <w:rsid w:val="00DC2BE9"/>
    <w:rsid w:val="00DE20E6"/>
    <w:rsid w:val="00DE5FFA"/>
    <w:rsid w:val="00E829B4"/>
    <w:rsid w:val="00EC35E7"/>
    <w:rsid w:val="00ED1BE3"/>
    <w:rsid w:val="00F50E50"/>
    <w:rsid w:val="00F533B1"/>
    <w:rsid w:val="00FB04A7"/>
    <w:rsid w:val="00FF3BDF"/>
    <w:rsid w:val="039D18E6"/>
    <w:rsid w:val="0599432F"/>
    <w:rsid w:val="07256E42"/>
    <w:rsid w:val="08185214"/>
    <w:rsid w:val="08D631A4"/>
    <w:rsid w:val="0924578C"/>
    <w:rsid w:val="09C80065"/>
    <w:rsid w:val="0A154985"/>
    <w:rsid w:val="0C831895"/>
    <w:rsid w:val="0DB379D6"/>
    <w:rsid w:val="0E8B3E67"/>
    <w:rsid w:val="0EF20515"/>
    <w:rsid w:val="0FBB73C9"/>
    <w:rsid w:val="0FD61966"/>
    <w:rsid w:val="109B38DA"/>
    <w:rsid w:val="11324747"/>
    <w:rsid w:val="114C7135"/>
    <w:rsid w:val="11836B58"/>
    <w:rsid w:val="11E730DB"/>
    <w:rsid w:val="12641821"/>
    <w:rsid w:val="12D76496"/>
    <w:rsid w:val="14134DB4"/>
    <w:rsid w:val="14BD4388"/>
    <w:rsid w:val="15085A8D"/>
    <w:rsid w:val="154A73F4"/>
    <w:rsid w:val="155D688F"/>
    <w:rsid w:val="15BA6989"/>
    <w:rsid w:val="18695B1E"/>
    <w:rsid w:val="199D21E8"/>
    <w:rsid w:val="1E116D00"/>
    <w:rsid w:val="1EB55F58"/>
    <w:rsid w:val="1EE02E7D"/>
    <w:rsid w:val="1F153F49"/>
    <w:rsid w:val="200A3A07"/>
    <w:rsid w:val="21DA565B"/>
    <w:rsid w:val="22606D04"/>
    <w:rsid w:val="229E2B2D"/>
    <w:rsid w:val="232F4A33"/>
    <w:rsid w:val="246578D4"/>
    <w:rsid w:val="248F4E23"/>
    <w:rsid w:val="281A4A03"/>
    <w:rsid w:val="2C0003B4"/>
    <w:rsid w:val="2CD91895"/>
    <w:rsid w:val="2D086FA1"/>
    <w:rsid w:val="2D746964"/>
    <w:rsid w:val="300A6F60"/>
    <w:rsid w:val="30632547"/>
    <w:rsid w:val="315C608D"/>
    <w:rsid w:val="33266952"/>
    <w:rsid w:val="36637EBD"/>
    <w:rsid w:val="36BD312A"/>
    <w:rsid w:val="36FB4ACB"/>
    <w:rsid w:val="37AE58D5"/>
    <w:rsid w:val="39BB2D61"/>
    <w:rsid w:val="3A6B7341"/>
    <w:rsid w:val="3AB02FA5"/>
    <w:rsid w:val="3AB83A06"/>
    <w:rsid w:val="3AE315CD"/>
    <w:rsid w:val="3B2300ED"/>
    <w:rsid w:val="3B822B94"/>
    <w:rsid w:val="3BD641DA"/>
    <w:rsid w:val="3BE42ACC"/>
    <w:rsid w:val="3CA803D8"/>
    <w:rsid w:val="3CB00C56"/>
    <w:rsid w:val="40672358"/>
    <w:rsid w:val="418E420F"/>
    <w:rsid w:val="41C31810"/>
    <w:rsid w:val="42DF267A"/>
    <w:rsid w:val="453F1A8A"/>
    <w:rsid w:val="46203170"/>
    <w:rsid w:val="46D014AA"/>
    <w:rsid w:val="46DD13C5"/>
    <w:rsid w:val="499C59B7"/>
    <w:rsid w:val="4C207F8B"/>
    <w:rsid w:val="4DDC6AE9"/>
    <w:rsid w:val="4E79582B"/>
    <w:rsid w:val="51076872"/>
    <w:rsid w:val="52DF3B64"/>
    <w:rsid w:val="546E385E"/>
    <w:rsid w:val="54D93F05"/>
    <w:rsid w:val="55216D66"/>
    <w:rsid w:val="55B1434A"/>
    <w:rsid w:val="571E1EFD"/>
    <w:rsid w:val="58564E39"/>
    <w:rsid w:val="58CA1889"/>
    <w:rsid w:val="58D17250"/>
    <w:rsid w:val="598C5B8D"/>
    <w:rsid w:val="59BD150F"/>
    <w:rsid w:val="5A1B4488"/>
    <w:rsid w:val="5B85605C"/>
    <w:rsid w:val="5F025C16"/>
    <w:rsid w:val="60EC3EBF"/>
    <w:rsid w:val="617E7B9B"/>
    <w:rsid w:val="624D0F56"/>
    <w:rsid w:val="63E2436F"/>
    <w:rsid w:val="652D1B5C"/>
    <w:rsid w:val="66DD0BC7"/>
    <w:rsid w:val="696F1F2A"/>
    <w:rsid w:val="6BEA5A68"/>
    <w:rsid w:val="6ED25D38"/>
    <w:rsid w:val="704020FA"/>
    <w:rsid w:val="70A767C2"/>
    <w:rsid w:val="70B51B02"/>
    <w:rsid w:val="70B623BC"/>
    <w:rsid w:val="70BF4B62"/>
    <w:rsid w:val="70EF41DA"/>
    <w:rsid w:val="73CD6075"/>
    <w:rsid w:val="76D23C75"/>
    <w:rsid w:val="78270EBD"/>
    <w:rsid w:val="789D29CE"/>
    <w:rsid w:val="79BE2A0E"/>
    <w:rsid w:val="7A1845EE"/>
    <w:rsid w:val="7AA240CC"/>
    <w:rsid w:val="7AD2348D"/>
    <w:rsid w:val="7B424F78"/>
    <w:rsid w:val="7B9B180B"/>
    <w:rsid w:val="7C684EB3"/>
    <w:rsid w:val="7C7319F1"/>
    <w:rsid w:val="7CAB4B18"/>
    <w:rsid w:val="7D1A25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qFormat="1" w:unhideWhenUsed="0" w:uiPriority="0" w:semiHidden="0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nhideWhenUsed="0" w:uiPriority="0" w:semiHidden="0" w:name="Body Text First Indent"/>
    <w:lsdException w:qFormat="1" w:uiPriority="99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qFormat="1" w:unhideWhenUsed="0" w:uiPriority="39" w:semiHidden="0" w:name="Table Grid"/>
    <w:lsdException w:unhideWhenUsed="0" w:uiPriority="99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paragraph" w:styleId="2">
    <w:name w:val="heading 1"/>
    <w:basedOn w:val="1"/>
    <w:next w:val="1"/>
    <w:link w:val="23"/>
    <w:autoRedefine/>
    <w:qFormat/>
    <w:uiPriority w:val="9"/>
    <w:pPr>
      <w:keepNext/>
      <w:keepLines/>
      <w:numPr>
        <w:ilvl w:val="0"/>
        <w:numId w:val="1"/>
      </w:numPr>
      <w:spacing w:before="260" w:after="200"/>
      <w:ind w:left="0" w:firstLine="0" w:firstLineChars="0"/>
      <w:jc w:val="center"/>
      <w:outlineLvl w:val="0"/>
    </w:pPr>
    <w:rPr>
      <w:b/>
      <w:bCs/>
      <w:kern w:val="44"/>
      <w:sz w:val="32"/>
      <w:szCs w:val="44"/>
    </w:rPr>
  </w:style>
  <w:style w:type="paragraph" w:styleId="3">
    <w:name w:val="heading 2"/>
    <w:basedOn w:val="1"/>
    <w:next w:val="1"/>
    <w:link w:val="24"/>
    <w:autoRedefine/>
    <w:unhideWhenUsed/>
    <w:qFormat/>
    <w:uiPriority w:val="9"/>
    <w:pPr>
      <w:keepNext/>
      <w:keepLines/>
      <w:numPr>
        <w:ilvl w:val="0"/>
        <w:numId w:val="2"/>
      </w:numPr>
      <w:spacing w:before="200" w:after="160"/>
      <w:ind w:left="0" w:firstLine="0" w:firstLineChars="0"/>
      <w:jc w:val="left"/>
      <w:outlineLvl w:val="1"/>
    </w:pPr>
    <w:rPr>
      <w:rFonts w:cstheme="majorBidi"/>
      <w:b/>
      <w:bCs/>
      <w:sz w:val="28"/>
      <w:szCs w:val="32"/>
    </w:rPr>
  </w:style>
  <w:style w:type="paragraph" w:styleId="4">
    <w:name w:val="heading 3"/>
    <w:basedOn w:val="1"/>
    <w:next w:val="1"/>
    <w:link w:val="26"/>
    <w:autoRedefine/>
    <w:unhideWhenUsed/>
    <w:qFormat/>
    <w:uiPriority w:val="9"/>
    <w:pPr>
      <w:keepNext/>
      <w:keepLines/>
      <w:numPr>
        <w:ilvl w:val="0"/>
        <w:numId w:val="3"/>
      </w:numPr>
      <w:spacing w:before="160" w:after="100"/>
      <w:ind w:left="198" w:firstLine="200"/>
      <w:jc w:val="left"/>
      <w:outlineLvl w:val="2"/>
    </w:pPr>
    <w:rPr>
      <w:b/>
      <w:bCs/>
      <w:sz w:val="30"/>
      <w:szCs w:val="32"/>
    </w:rPr>
  </w:style>
  <w:style w:type="paragraph" w:styleId="5">
    <w:name w:val="heading 4"/>
    <w:basedOn w:val="1"/>
    <w:next w:val="1"/>
    <w:link w:val="27"/>
    <w:autoRedefine/>
    <w:unhideWhenUsed/>
    <w:qFormat/>
    <w:uiPriority w:val="9"/>
    <w:pPr>
      <w:keepNext/>
      <w:keepLines/>
      <w:numPr>
        <w:ilvl w:val="0"/>
        <w:numId w:val="4"/>
      </w:numPr>
      <w:spacing w:before="40"/>
      <w:ind w:left="198" w:firstLine="200"/>
      <w:jc w:val="left"/>
      <w:outlineLvl w:val="3"/>
    </w:pPr>
    <w:rPr>
      <w:rFonts w:cstheme="majorBidi"/>
      <w:b/>
      <w:bCs/>
      <w:sz w:val="28"/>
      <w:szCs w:val="28"/>
    </w:rPr>
  </w:style>
  <w:style w:type="paragraph" w:styleId="6">
    <w:name w:val="heading 5"/>
    <w:basedOn w:val="1"/>
    <w:next w:val="1"/>
    <w:link w:val="30"/>
    <w:autoRedefine/>
    <w:unhideWhenUsed/>
    <w:qFormat/>
    <w:uiPriority w:val="9"/>
    <w:pPr>
      <w:keepNext/>
      <w:keepLines/>
      <w:numPr>
        <w:ilvl w:val="0"/>
        <w:numId w:val="5"/>
      </w:numPr>
      <w:ind w:left="198" w:firstLine="200"/>
      <w:outlineLvl w:val="4"/>
    </w:pPr>
    <w:rPr>
      <w:b/>
      <w:bCs/>
      <w:szCs w:val="28"/>
    </w:rPr>
  </w:style>
  <w:style w:type="character" w:default="1" w:styleId="19">
    <w:name w:val="Default Paragraph Font"/>
    <w:autoRedefine/>
    <w:semiHidden/>
    <w:unhideWhenUsed/>
    <w:qFormat/>
    <w:uiPriority w:val="1"/>
  </w:style>
  <w:style w:type="table" w:default="1" w:styleId="17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Body Text Indent"/>
    <w:basedOn w:val="1"/>
    <w:next w:val="8"/>
    <w:autoRedefine/>
    <w:unhideWhenUsed/>
    <w:qFormat/>
    <w:uiPriority w:val="99"/>
    <w:pPr>
      <w:spacing w:after="120" w:afterLines="0" w:afterAutospacing="0"/>
      <w:ind w:left="420" w:leftChars="200"/>
    </w:pPr>
  </w:style>
  <w:style w:type="paragraph" w:styleId="8">
    <w:name w:val="envelope return"/>
    <w:autoRedefine/>
    <w:qFormat/>
    <w:uiPriority w:val="0"/>
    <w:pPr>
      <w:widowControl w:val="0"/>
      <w:snapToGrid w:val="0"/>
      <w:spacing w:line="360" w:lineRule="auto"/>
      <w:ind w:firstLine="200" w:firstLineChars="200"/>
      <w:jc w:val="both"/>
    </w:pPr>
    <w:rPr>
      <w:rFonts w:ascii="Arial" w:hAnsi="Arial" w:eastAsia="宋体" w:cs="Times New Roman"/>
      <w:kern w:val="2"/>
      <w:sz w:val="24"/>
      <w:szCs w:val="21"/>
      <w:lang w:val="en-US" w:eastAsia="zh-CN" w:bidi="ar-SA"/>
    </w:rPr>
  </w:style>
  <w:style w:type="paragraph" w:styleId="9">
    <w:name w:val="footer"/>
    <w:basedOn w:val="1"/>
    <w:link w:val="22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21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toc 1"/>
    <w:basedOn w:val="1"/>
    <w:next w:val="1"/>
    <w:autoRedefine/>
    <w:unhideWhenUsed/>
    <w:qFormat/>
    <w:uiPriority w:val="39"/>
    <w:rPr>
      <w:rFonts w:cs="Times New Roman"/>
    </w:rPr>
  </w:style>
  <w:style w:type="paragraph" w:styleId="12">
    <w:name w:val="toc 2"/>
    <w:basedOn w:val="1"/>
    <w:next w:val="1"/>
    <w:autoRedefine/>
    <w:unhideWhenUsed/>
    <w:qFormat/>
    <w:uiPriority w:val="39"/>
    <w:pPr>
      <w:ind w:left="420" w:leftChars="200"/>
    </w:pPr>
    <w:rPr>
      <w:rFonts w:cs="Times New Roman"/>
    </w:rPr>
  </w:style>
  <w:style w:type="paragraph" w:styleId="13">
    <w:name w:val="Normal (Web)"/>
    <w:basedOn w:val="1"/>
    <w:autoRedefine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14">
    <w:name w:val="Title"/>
    <w:basedOn w:val="1"/>
    <w:next w:val="1"/>
    <w:link w:val="29"/>
    <w:autoRedefine/>
    <w:qFormat/>
    <w:uiPriority w:val="10"/>
    <w:pPr>
      <w:spacing w:before="240" w:after="60"/>
      <w:jc w:val="center"/>
      <w:outlineLvl w:val="0"/>
    </w:pPr>
    <w:rPr>
      <w:rFonts w:eastAsia="黑体" w:cstheme="majorBidi"/>
      <w:b/>
      <w:bCs/>
      <w:szCs w:val="32"/>
    </w:rPr>
  </w:style>
  <w:style w:type="paragraph" w:styleId="15">
    <w:name w:val="Body Text First Indent"/>
    <w:next w:val="16"/>
    <w:autoRedefine/>
    <w:qFormat/>
    <w:uiPriority w:val="0"/>
    <w:pPr>
      <w:widowControl w:val="0"/>
      <w:spacing w:line="360" w:lineRule="auto"/>
      <w:ind w:firstLine="420" w:firstLineChars="100"/>
      <w:jc w:val="both"/>
    </w:pPr>
    <w:rPr>
      <w:rFonts w:ascii="Times New Roman" w:hAnsi="Times New Roman" w:eastAsia="宋体" w:cs="Times New Roman"/>
      <w:kern w:val="2"/>
      <w:sz w:val="24"/>
      <w:szCs w:val="21"/>
      <w:lang w:val="en-US" w:eastAsia="zh-CN" w:bidi="ar-SA"/>
    </w:rPr>
  </w:style>
  <w:style w:type="paragraph" w:styleId="16">
    <w:name w:val="Body Text First Indent 2"/>
    <w:basedOn w:val="7"/>
    <w:next w:val="15"/>
    <w:autoRedefine/>
    <w:unhideWhenUsed/>
    <w:qFormat/>
    <w:uiPriority w:val="99"/>
    <w:pPr>
      <w:ind w:firstLine="420" w:firstLineChars="200"/>
    </w:pPr>
  </w:style>
  <w:style w:type="table" w:styleId="18">
    <w:name w:val="Table Grid"/>
    <w:basedOn w:val="17"/>
    <w:autoRedefine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20">
    <w:name w:val="Hyperlink"/>
    <w:autoRedefine/>
    <w:unhideWhenUsed/>
    <w:qFormat/>
    <w:uiPriority w:val="99"/>
    <w:rPr>
      <w:color w:val="0000FF"/>
      <w:u w:val="single"/>
    </w:rPr>
  </w:style>
  <w:style w:type="character" w:customStyle="1" w:styleId="21">
    <w:name w:val="页眉 字符"/>
    <w:basedOn w:val="19"/>
    <w:link w:val="10"/>
    <w:autoRedefine/>
    <w:qFormat/>
    <w:uiPriority w:val="99"/>
    <w:rPr>
      <w:rFonts w:ascii="Times New Roman" w:hAnsi="Times New Roman" w:eastAsia="宋体"/>
      <w:sz w:val="18"/>
      <w:szCs w:val="18"/>
    </w:rPr>
  </w:style>
  <w:style w:type="character" w:customStyle="1" w:styleId="22">
    <w:name w:val="页脚 字符"/>
    <w:basedOn w:val="19"/>
    <w:link w:val="9"/>
    <w:autoRedefine/>
    <w:qFormat/>
    <w:uiPriority w:val="99"/>
    <w:rPr>
      <w:sz w:val="18"/>
      <w:szCs w:val="18"/>
    </w:rPr>
  </w:style>
  <w:style w:type="character" w:customStyle="1" w:styleId="23">
    <w:name w:val="标题 1 字符"/>
    <w:basedOn w:val="19"/>
    <w:link w:val="2"/>
    <w:autoRedefine/>
    <w:qFormat/>
    <w:uiPriority w:val="9"/>
    <w:rPr>
      <w:rFonts w:ascii="Times New Roman" w:hAnsi="Times New Roman" w:eastAsia="宋体"/>
      <w:b/>
      <w:bCs/>
      <w:kern w:val="44"/>
      <w:sz w:val="32"/>
      <w:szCs w:val="44"/>
    </w:rPr>
  </w:style>
  <w:style w:type="character" w:customStyle="1" w:styleId="24">
    <w:name w:val="标题 2 字符"/>
    <w:basedOn w:val="19"/>
    <w:link w:val="3"/>
    <w:autoRedefine/>
    <w:qFormat/>
    <w:uiPriority w:val="9"/>
    <w:rPr>
      <w:rFonts w:ascii="Times New Roman" w:hAnsi="Times New Roman" w:eastAsia="宋体" w:cstheme="majorBidi"/>
      <w:b/>
      <w:bCs/>
      <w:sz w:val="28"/>
      <w:szCs w:val="32"/>
    </w:rPr>
  </w:style>
  <w:style w:type="paragraph" w:styleId="25">
    <w:name w:val="List Paragraph"/>
    <w:basedOn w:val="1"/>
    <w:autoRedefine/>
    <w:qFormat/>
    <w:uiPriority w:val="34"/>
    <w:pPr>
      <w:ind w:firstLine="420"/>
    </w:pPr>
  </w:style>
  <w:style w:type="character" w:customStyle="1" w:styleId="26">
    <w:name w:val="标题 3 字符"/>
    <w:basedOn w:val="19"/>
    <w:link w:val="4"/>
    <w:autoRedefine/>
    <w:qFormat/>
    <w:uiPriority w:val="9"/>
    <w:rPr>
      <w:rFonts w:eastAsia="宋体"/>
      <w:b/>
      <w:bCs/>
      <w:sz w:val="30"/>
      <w:szCs w:val="32"/>
    </w:rPr>
  </w:style>
  <w:style w:type="character" w:customStyle="1" w:styleId="27">
    <w:name w:val="标题 4 字符"/>
    <w:basedOn w:val="19"/>
    <w:link w:val="5"/>
    <w:autoRedefine/>
    <w:qFormat/>
    <w:uiPriority w:val="9"/>
    <w:rPr>
      <w:rFonts w:ascii="Times New Roman" w:hAnsi="Times New Roman" w:eastAsia="宋体" w:cstheme="majorBidi"/>
      <w:b/>
      <w:bCs/>
      <w:sz w:val="28"/>
      <w:szCs w:val="28"/>
    </w:rPr>
  </w:style>
  <w:style w:type="paragraph" w:customStyle="1" w:styleId="28">
    <w:name w:val="表格字体"/>
    <w:basedOn w:val="1"/>
    <w:autoRedefine/>
    <w:qFormat/>
    <w:uiPriority w:val="0"/>
    <w:pPr>
      <w:spacing w:line="240" w:lineRule="auto"/>
      <w:ind w:firstLine="0" w:firstLineChars="0"/>
    </w:pPr>
    <w:rPr>
      <w:sz w:val="21"/>
    </w:rPr>
  </w:style>
  <w:style w:type="character" w:customStyle="1" w:styleId="29">
    <w:name w:val="标题 字符"/>
    <w:basedOn w:val="19"/>
    <w:link w:val="14"/>
    <w:autoRedefine/>
    <w:qFormat/>
    <w:uiPriority w:val="10"/>
    <w:rPr>
      <w:rFonts w:ascii="Times New Roman" w:hAnsi="Times New Roman" w:eastAsia="黑体" w:cstheme="majorBidi"/>
      <w:b/>
      <w:bCs/>
      <w:sz w:val="24"/>
      <w:szCs w:val="32"/>
    </w:rPr>
  </w:style>
  <w:style w:type="character" w:customStyle="1" w:styleId="30">
    <w:name w:val="标题 5 字符"/>
    <w:basedOn w:val="19"/>
    <w:link w:val="6"/>
    <w:autoRedefine/>
    <w:qFormat/>
    <w:uiPriority w:val="9"/>
    <w:rPr>
      <w:rFonts w:ascii="Times New Roman" w:hAnsi="Times New Roman" w:eastAsia="宋体"/>
      <w:b/>
      <w:bCs/>
      <w:sz w:val="24"/>
      <w:szCs w:val="28"/>
    </w:rPr>
  </w:style>
  <w:style w:type="character" w:customStyle="1" w:styleId="31">
    <w:name w:val="表头 Char"/>
    <w:link w:val="32"/>
    <w:autoRedefine/>
    <w:qFormat/>
    <w:uiPriority w:val="0"/>
    <w:rPr>
      <w:rFonts w:ascii="Times New Roman" w:hAnsi="Times New Roman" w:eastAsia="黑体"/>
      <w:b/>
      <w:w w:val="102"/>
      <w:sz w:val="24"/>
    </w:rPr>
  </w:style>
  <w:style w:type="paragraph" w:customStyle="1" w:styleId="32">
    <w:name w:val="表头"/>
    <w:basedOn w:val="1"/>
    <w:link w:val="31"/>
    <w:autoRedefine/>
    <w:qFormat/>
    <w:uiPriority w:val="0"/>
    <w:pPr>
      <w:spacing w:line="240" w:lineRule="auto"/>
      <w:ind w:firstLine="0" w:firstLineChars="0"/>
      <w:jc w:val="center"/>
    </w:pPr>
    <w:rPr>
      <w:rFonts w:eastAsia="黑体"/>
      <w:b/>
      <w:w w:val="102"/>
    </w:rPr>
  </w:style>
  <w:style w:type="table" w:customStyle="1" w:styleId="33">
    <w:name w:val="网格型1"/>
    <w:basedOn w:val="17"/>
    <w:autoRedefine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numbering" Target="numbering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DEDA12-F5AA-4B4B-9197-F0F2026E37E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1612</Words>
  <Characters>2099</Characters>
  <Lines>6</Lines>
  <Paragraphs>1</Paragraphs>
  <TotalTime>2</TotalTime>
  <ScaleCrop>false</ScaleCrop>
  <LinksUpToDate>false</LinksUpToDate>
  <CharactersWithSpaces>2206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2019-11-05T09:13:00Z</dcterms:created>
  <dc:creator>Administrator</dc:creator>
  <cp:lastModifiedBy>fxh</cp:lastModifiedBy>
  <cp:lastPrinted>2024-07-19T03:15:20Z</cp:lastPrinted>
  <dcterms:modified xsi:type="dcterms:W3CDTF">2024-07-19T03:15:28Z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086A6ADDA8CB476F9D422405F43E901D_13</vt:lpwstr>
  </property>
</Properties>
</file>