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0" w:leftChars="0" w:firstLine="0" w:firstLineChars="0"/>
        <w:rPr>
          <w:rFonts w:hint="eastAsia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附件：</w:t>
      </w:r>
      <w:bookmarkStart w:id="4" w:name="_GoBack"/>
      <w:bookmarkEnd w:id="4"/>
    </w:p>
    <w:p>
      <w:pPr>
        <w:pStyle w:val="5"/>
        <w:numPr>
          <w:ilvl w:val="0"/>
          <w:numId w:val="0"/>
        </w:numPr>
        <w:rPr>
          <w:sz w:val="36"/>
          <w:szCs w:val="36"/>
        </w:rPr>
      </w:pPr>
      <w:r>
        <w:rPr>
          <w:rFonts w:hint="eastAsia"/>
          <w:sz w:val="36"/>
          <w:szCs w:val="36"/>
        </w:rPr>
        <w:t>太康县</w:t>
      </w:r>
      <w:r>
        <w:rPr>
          <w:sz w:val="36"/>
          <w:szCs w:val="36"/>
        </w:rPr>
        <w:t>G-27</w:t>
      </w:r>
      <w:r>
        <w:rPr>
          <w:rFonts w:hint="eastAsia"/>
          <w:sz w:val="36"/>
          <w:szCs w:val="36"/>
        </w:rPr>
        <w:t>地块控制性详细规划公示</w:t>
      </w:r>
    </w:p>
    <w:p>
      <w:pPr>
        <w:ind w:firstLine="480"/>
        <w:rPr>
          <w:sz w:val="30"/>
          <w:szCs w:val="30"/>
        </w:rPr>
      </w:pPr>
      <w:bookmarkStart w:id="0" w:name="_Hlk527551381"/>
      <w:r>
        <w:rPr>
          <w:rFonts w:hint="eastAsia"/>
          <w:sz w:val="30"/>
          <w:szCs w:val="30"/>
        </w:rPr>
        <w:t>规划用地范围东至光明路、西至银城路、南至纬一路、北至潘杨路。</w:t>
      </w:r>
    </w:p>
    <w:p>
      <w:pPr>
        <w:ind w:firstLine="480"/>
        <w:rPr>
          <w:sz w:val="30"/>
          <w:szCs w:val="30"/>
        </w:rPr>
      </w:pPr>
      <w:r>
        <w:rPr>
          <w:rFonts w:hint="eastAsia"/>
          <w:sz w:val="30"/>
          <w:szCs w:val="30"/>
        </w:rPr>
        <w:t>规划范围内各地块总建设用地面积为</w:t>
      </w:r>
      <w:r>
        <w:rPr>
          <w:spacing w:val="-2"/>
          <w:sz w:val="30"/>
          <w:szCs w:val="30"/>
        </w:rPr>
        <w:t>6.58</w:t>
      </w:r>
      <w:r>
        <w:rPr>
          <w:rFonts w:hint="eastAsia"/>
          <w:sz w:val="30"/>
          <w:szCs w:val="30"/>
        </w:rPr>
        <w:t>公顷，分别为：</w:t>
      </w:r>
      <w:bookmarkStart w:id="1" w:name="_Hlk35610216"/>
      <w:r>
        <w:rPr>
          <w:rFonts w:hint="eastAsia"/>
          <w:sz w:val="30"/>
          <w:szCs w:val="30"/>
        </w:rPr>
        <w:t>二类居住用地（R</w:t>
      </w:r>
      <w:r>
        <w:rPr>
          <w:sz w:val="30"/>
          <w:szCs w:val="30"/>
        </w:rPr>
        <w:t>21</w:t>
      </w:r>
      <w:r>
        <w:rPr>
          <w:rFonts w:hint="eastAsia"/>
          <w:sz w:val="30"/>
          <w:szCs w:val="30"/>
        </w:rPr>
        <w:t>），面积约</w:t>
      </w:r>
      <w:r>
        <w:rPr>
          <w:sz w:val="30"/>
          <w:szCs w:val="30"/>
        </w:rPr>
        <w:t>5.97</w:t>
      </w:r>
      <w:r>
        <w:rPr>
          <w:rFonts w:hint="eastAsia"/>
          <w:sz w:val="30"/>
          <w:szCs w:val="30"/>
        </w:rPr>
        <w:t>公顷；公园绿地（G</w:t>
      </w:r>
      <w:r>
        <w:rPr>
          <w:sz w:val="30"/>
          <w:szCs w:val="30"/>
        </w:rPr>
        <w:t>1</w:t>
      </w:r>
      <w:r>
        <w:rPr>
          <w:rFonts w:hint="eastAsia"/>
          <w:sz w:val="30"/>
          <w:szCs w:val="30"/>
        </w:rPr>
        <w:t>），用地面积</w:t>
      </w:r>
      <w:r>
        <w:rPr>
          <w:sz w:val="30"/>
          <w:szCs w:val="30"/>
        </w:rPr>
        <w:t>0.61</w:t>
      </w:r>
      <w:r>
        <w:rPr>
          <w:rFonts w:hint="eastAsia"/>
          <w:sz w:val="30"/>
          <w:szCs w:val="30"/>
        </w:rPr>
        <w:t>公顷</w:t>
      </w:r>
      <w:bookmarkEnd w:id="1"/>
      <w:r>
        <w:rPr>
          <w:rFonts w:hint="eastAsia"/>
          <w:sz w:val="30"/>
          <w:szCs w:val="30"/>
        </w:rPr>
        <w:t>。</w:t>
      </w:r>
    </w:p>
    <w:bookmarkEnd w:id="0"/>
    <w:p>
      <w:pPr>
        <w:ind w:firstLine="480"/>
        <w:rPr>
          <w:sz w:val="30"/>
          <w:szCs w:val="30"/>
        </w:rPr>
      </w:pPr>
      <w:r>
        <w:rPr>
          <w:rFonts w:hint="eastAsia"/>
          <w:sz w:val="30"/>
          <w:szCs w:val="30"/>
        </w:rPr>
        <w:t>具体指标如下：</w:t>
      </w:r>
    </w:p>
    <w:p>
      <w:pPr>
        <w:spacing w:line="240" w:lineRule="auto"/>
        <w:ind w:firstLine="0" w:firstLineChars="0"/>
        <w:jc w:val="center"/>
        <w:rPr>
          <w:rFonts w:eastAsia="黑体" w:cs="Times New Roman"/>
          <w:b/>
          <w:w w:val="102"/>
        </w:rPr>
      </w:pPr>
      <w:r>
        <w:rPr>
          <w:rFonts w:eastAsia="黑体" w:cs="Times New Roman"/>
          <w:b/>
          <w:w w:val="102"/>
        </w:rPr>
        <w:t>G-27</w:t>
      </w:r>
      <w:r>
        <w:rPr>
          <w:rFonts w:hint="eastAsia" w:eastAsia="黑体" w:cs="Times New Roman"/>
          <w:b/>
          <w:w w:val="102"/>
        </w:rPr>
        <w:t>地块控制指标一览表</w:t>
      </w:r>
    </w:p>
    <w:tbl>
      <w:tblPr>
        <w:tblStyle w:val="1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2045"/>
        <w:gridCol w:w="2013"/>
        <w:gridCol w:w="28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地块编号</w:t>
            </w:r>
          </w:p>
        </w:tc>
        <w:tc>
          <w:tcPr>
            <w:tcW w:w="1180" w:type="pct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G-27-01</w:t>
            </w:r>
          </w:p>
        </w:tc>
        <w:tc>
          <w:tcPr>
            <w:tcW w:w="1672" w:type="pct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G-27-02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用地性质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G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用地名称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公园绿地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8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w w:val="102"/>
                <w:sz w:val="18"/>
                <w:szCs w:val="18"/>
              </w:rPr>
              <w:t>二类居住用地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用地面积（</w:t>
            </w:r>
            <w:r>
              <w:rPr>
                <w:b/>
                <w:bCs/>
                <w:sz w:val="18"/>
                <w:szCs w:val="18"/>
              </w:rPr>
              <w:t>m</w:t>
            </w:r>
            <w:r>
              <w:rPr>
                <w:b/>
                <w:bCs/>
                <w:sz w:val="18"/>
                <w:szCs w:val="18"/>
                <w:vertAlign w:val="superscript"/>
              </w:rPr>
              <w:t>2</w:t>
            </w:r>
            <w:r>
              <w:rPr>
                <w:rFonts w:hint="eastAsia"/>
                <w:b/>
                <w:bCs/>
                <w:sz w:val="18"/>
                <w:szCs w:val="18"/>
              </w:rPr>
              <w:t>）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8"/>
              <w:jc w:val="center"/>
              <w:rPr>
                <w:w w:val="102"/>
                <w:sz w:val="18"/>
                <w:szCs w:val="18"/>
              </w:rPr>
            </w:pPr>
            <w:r>
              <w:rPr>
                <w:w w:val="102"/>
                <w:sz w:val="18"/>
                <w:szCs w:val="18"/>
              </w:rPr>
              <w:t>6156.01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8"/>
              <w:jc w:val="center"/>
              <w:rPr>
                <w:w w:val="102"/>
                <w:sz w:val="18"/>
                <w:szCs w:val="18"/>
              </w:rPr>
            </w:pPr>
            <w:r>
              <w:rPr>
                <w:w w:val="102"/>
                <w:sz w:val="18"/>
                <w:szCs w:val="18"/>
              </w:rPr>
              <w:t>59679.34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容积率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≤0</w:t>
            </w:r>
            <w:r>
              <w:rPr>
                <w:sz w:val="18"/>
                <w:szCs w:val="18"/>
              </w:rPr>
              <w:t>.05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≤</w:t>
            </w:r>
            <w:r>
              <w:rPr>
                <w:sz w:val="18"/>
                <w:szCs w:val="18"/>
              </w:rPr>
              <w:t>2.2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建筑密度（%）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＜1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</w:rPr>
              <w:t>≤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建筑高度（m）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≤1</w:t>
            </w:r>
            <w:r>
              <w:rPr>
                <w:sz w:val="18"/>
                <w:szCs w:val="18"/>
              </w:rPr>
              <w:t>2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≤</w:t>
            </w:r>
            <w:r>
              <w:rPr>
                <w:sz w:val="18"/>
                <w:szCs w:val="18"/>
              </w:rPr>
              <w:t>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148" w:type="pct"/>
            <w:gridSpan w:val="2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绿地率（%）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w w:val="102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＞6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≥</w:t>
            </w:r>
            <w:r>
              <w:rPr>
                <w:sz w:val="18"/>
                <w:szCs w:val="18"/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949" w:type="pct"/>
            <w:vMerge w:val="restart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82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停车位</w:t>
            </w:r>
          </w:p>
        </w:tc>
        <w:tc>
          <w:tcPr>
            <w:tcW w:w="1199" w:type="pct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机动车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——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见备注1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949" w:type="pct"/>
            <w:vMerge w:val="continue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</w:p>
        </w:tc>
        <w:tc>
          <w:tcPr>
            <w:tcW w:w="1199" w:type="pct"/>
            <w:shd w:val="clear" w:color="auto" w:fill="F1F1F1" w:themeFill="background1" w:themeFillShade="F2"/>
            <w:vAlign w:val="center"/>
          </w:tcPr>
          <w:p>
            <w:pPr>
              <w:pStyle w:val="26"/>
              <w:spacing w:line="240" w:lineRule="exact"/>
              <w:ind w:firstLine="493"/>
              <w:jc w:val="center"/>
              <w:rPr>
                <w:b/>
                <w:bCs/>
                <w:w w:val="102"/>
                <w:sz w:val="18"/>
                <w:szCs w:val="18"/>
              </w:rPr>
            </w:pPr>
            <w:r>
              <w:rPr>
                <w:rFonts w:hint="eastAsia"/>
                <w:b/>
                <w:bCs/>
                <w:w w:val="102"/>
                <w:sz w:val="18"/>
                <w:szCs w:val="18"/>
              </w:rPr>
              <w:t>非机动车</w:t>
            </w:r>
          </w:p>
        </w:tc>
        <w:tc>
          <w:tcPr>
            <w:tcW w:w="1180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——</w:t>
            </w:r>
          </w:p>
        </w:tc>
        <w:tc>
          <w:tcPr>
            <w:tcW w:w="1672" w:type="pct"/>
            <w:vAlign w:val="center"/>
          </w:tcPr>
          <w:p>
            <w:pPr>
              <w:pStyle w:val="26"/>
              <w:spacing w:line="240" w:lineRule="exact"/>
              <w:ind w:firstLine="48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见备注2</w:t>
            </w:r>
          </w:p>
        </w:tc>
      </w:tr>
    </w:tbl>
    <w:p>
      <w:pPr>
        <w:ind w:firstLine="480"/>
        <w:rPr>
          <w:sz w:val="28"/>
          <w:szCs w:val="28"/>
        </w:rPr>
      </w:pPr>
      <w:r>
        <w:rPr>
          <w:rFonts w:hint="eastAsia"/>
          <w:sz w:val="28"/>
          <w:szCs w:val="28"/>
        </w:rPr>
        <w:t>备注1：商品房机动车停车配建标准，套型建筑面积≤120㎡，1车位/户；120㎡＜套型建筑面积≤150㎡，1.2车位/户；套型建筑面积＞150㎡，1.5车位/户。政策保障性住房机动车停车位配建标准为0.8车位/户。</w:t>
      </w:r>
    </w:p>
    <w:p>
      <w:pPr>
        <w:ind w:firstLine="480"/>
        <w:rPr>
          <w:sz w:val="28"/>
          <w:szCs w:val="28"/>
        </w:rPr>
      </w:pPr>
      <w:r>
        <w:rPr>
          <w:rFonts w:hint="eastAsia"/>
          <w:sz w:val="28"/>
          <w:szCs w:val="28"/>
        </w:rPr>
        <w:t>备注</w:t>
      </w: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：非机动车停车位配建标准，商品房，2车位/户；政策保障性住房，2.5车位/户。</w:t>
      </w:r>
    </w:p>
    <w:p>
      <w:pPr>
        <w:ind w:firstLine="48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1610" cy="3721735"/>
            <wp:effectExtent l="0" t="0" r="15240" b="12065"/>
            <wp:docPr id="1" name="图片 1" descr="01区位分析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区位分析图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480"/>
        <w:rPr>
          <w:rFonts w:hint="eastAsia" w:eastAsia="宋体"/>
          <w:lang w:eastAsia="zh-CN"/>
        </w:rPr>
      </w:pPr>
    </w:p>
    <w:p>
      <w:pPr>
        <w:ind w:firstLine="48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1610" cy="3721735"/>
            <wp:effectExtent l="0" t="0" r="15240" b="12065"/>
            <wp:docPr id="2" name="图片 2" descr="02用地现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2用地现状图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eastAsia="宋体"/>
          <w:lang w:eastAsia="zh-CN"/>
        </w:rPr>
      </w:pPr>
    </w:p>
    <w:p>
      <w:pPr>
        <w:pStyle w:val="2"/>
        <w:ind w:left="0" w:leftChars="0" w:firstLine="0" w:firstLineChars="0"/>
        <w:rPr>
          <w:rFonts w:hint="eastAsia" w:eastAsia="宋体"/>
          <w:lang w:eastAsia="zh-CN"/>
        </w:rPr>
      </w:pPr>
    </w:p>
    <w:p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1610" cy="3721735"/>
            <wp:effectExtent l="0" t="0" r="15240" b="12065"/>
            <wp:docPr id="9" name="图片 9" descr="04用地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04用地规划图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left="0" w:leftChars="0" w:firstLine="0" w:firstLineChars="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4150" cy="3721100"/>
            <wp:effectExtent l="0" t="0" r="12700" b="12700"/>
            <wp:docPr id="8" name="图片 8" descr="360南侧地块最终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360南侧地块最终(2)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eastAsia="宋体"/>
          <w:lang w:eastAsia="zh-CN"/>
        </w:rPr>
      </w:pPr>
    </w:p>
    <w:p>
      <w:pPr>
        <w:pStyle w:val="5"/>
        <w:numPr>
          <w:ilvl w:val="0"/>
          <w:numId w:val="0"/>
        </w:numPr>
        <w:rPr>
          <w:sz w:val="36"/>
          <w:szCs w:val="36"/>
        </w:rPr>
      </w:pPr>
      <w:r>
        <w:rPr>
          <w:rFonts w:hint="eastAsia"/>
          <w:sz w:val="36"/>
          <w:szCs w:val="36"/>
        </w:rPr>
        <w:t>太康县C-0</w:t>
      </w:r>
      <w:r>
        <w:rPr>
          <w:sz w:val="36"/>
          <w:szCs w:val="36"/>
        </w:rPr>
        <w:t>1</w:t>
      </w:r>
      <w:r>
        <w:rPr>
          <w:rFonts w:hint="eastAsia"/>
          <w:sz w:val="36"/>
          <w:szCs w:val="36"/>
        </w:rPr>
        <w:t>、C-0</w:t>
      </w:r>
      <w:r>
        <w:rPr>
          <w:sz w:val="36"/>
          <w:szCs w:val="36"/>
        </w:rPr>
        <w:t>2</w:t>
      </w:r>
      <w:r>
        <w:rPr>
          <w:rFonts w:hint="eastAsia"/>
          <w:sz w:val="36"/>
          <w:szCs w:val="36"/>
        </w:rPr>
        <w:t>地块控制性详细规划公示</w:t>
      </w:r>
    </w:p>
    <w:p>
      <w:pPr>
        <w:ind w:firstLine="480"/>
        <w:rPr>
          <w:sz w:val="30"/>
          <w:szCs w:val="30"/>
        </w:rPr>
      </w:pPr>
      <w:bookmarkStart w:id="2" w:name="_Hlk108789282"/>
      <w:r>
        <w:rPr>
          <w:rFonts w:hint="eastAsia"/>
          <w:sz w:val="30"/>
          <w:szCs w:val="30"/>
        </w:rPr>
        <w:t>本次规划地块位于太康县城西北角，总规划面积为17.45公顷(约合261.</w:t>
      </w:r>
      <w:r>
        <w:rPr>
          <w:sz w:val="30"/>
          <w:szCs w:val="30"/>
        </w:rPr>
        <w:t>75</w:t>
      </w:r>
      <w:r>
        <w:rPr>
          <w:rFonts w:hint="eastAsia"/>
          <w:sz w:val="30"/>
          <w:szCs w:val="30"/>
        </w:rPr>
        <w:t>亩）。</w:t>
      </w:r>
    </w:p>
    <w:p>
      <w:pPr>
        <w:ind w:firstLine="480"/>
        <w:rPr>
          <w:sz w:val="30"/>
          <w:szCs w:val="30"/>
        </w:rPr>
      </w:pPr>
      <w:r>
        <w:rPr>
          <w:rFonts w:hint="eastAsia"/>
          <w:sz w:val="30"/>
          <w:szCs w:val="30"/>
        </w:rPr>
        <w:t>地块C-01北至城郊路、南至火星阁路、西至十化路、东至八里庙西路，面积总计8</w:t>
      </w:r>
      <w:r>
        <w:rPr>
          <w:sz w:val="30"/>
          <w:szCs w:val="30"/>
        </w:rPr>
        <w:t>.96</w:t>
      </w:r>
      <w:r>
        <w:rPr>
          <w:rFonts w:hint="eastAsia"/>
          <w:sz w:val="30"/>
          <w:szCs w:val="30"/>
        </w:rPr>
        <w:t>公顷，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分别为二类居住用地（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R21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）面积约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8.66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公顷，公园绿地（G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）约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0.31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公顷。</w:t>
      </w:r>
    </w:p>
    <w:p>
      <w:pPr>
        <w:ind w:firstLine="480"/>
        <w:rPr>
          <w:sz w:val="30"/>
          <w:szCs w:val="30"/>
        </w:rPr>
      </w:pPr>
      <w:r>
        <w:rPr>
          <w:rFonts w:hint="eastAsia"/>
          <w:sz w:val="30"/>
          <w:szCs w:val="30"/>
        </w:rPr>
        <w:t>地块C-02北至城郊路、南至火星阁路、西至八里庙西路、东至景集路，面积总计8</w:t>
      </w:r>
      <w:r>
        <w:rPr>
          <w:sz w:val="30"/>
          <w:szCs w:val="30"/>
        </w:rPr>
        <w:t>.49</w:t>
      </w:r>
      <w:r>
        <w:rPr>
          <w:rFonts w:hint="eastAsia"/>
          <w:sz w:val="30"/>
          <w:szCs w:val="30"/>
        </w:rPr>
        <w:t>公顷，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分别为二类居住用地（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R21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）面积约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8.15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公顷，公园绿地（G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1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）约</w:t>
      </w:r>
      <w:r>
        <w:rPr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0.34</w:t>
      </w:r>
      <w:r>
        <w:rPr>
          <w:rFonts w:hint="eastAsia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公顷。</w:t>
      </w:r>
    </w:p>
    <w:bookmarkEnd w:id="2"/>
    <w:p>
      <w:pPr>
        <w:ind w:firstLine="480"/>
        <w:rPr>
          <w:sz w:val="30"/>
          <w:szCs w:val="30"/>
        </w:rPr>
      </w:pPr>
      <w:r>
        <w:rPr>
          <w:rFonts w:hint="eastAsia"/>
          <w:sz w:val="30"/>
          <w:szCs w:val="30"/>
        </w:rPr>
        <w:t>具体指标如下：</w:t>
      </w:r>
    </w:p>
    <w:p>
      <w:pPr>
        <w:spacing w:line="240" w:lineRule="auto"/>
        <w:ind w:firstLine="0" w:firstLineChars="0"/>
        <w:jc w:val="center"/>
        <w:rPr>
          <w:rFonts w:eastAsia="黑体" w:cs="Times New Roman"/>
          <w:b/>
          <w:w w:val="102"/>
        </w:rPr>
      </w:pPr>
      <w:r>
        <w:rPr>
          <w:rFonts w:hint="eastAsia" w:eastAsia="黑体" w:cs="Times New Roman"/>
          <w:b/>
          <w:w w:val="102"/>
        </w:rPr>
        <w:t>C</w:t>
      </w:r>
      <w:r>
        <w:rPr>
          <w:rFonts w:eastAsia="黑体" w:cs="Times New Roman"/>
          <w:b/>
          <w:w w:val="102"/>
        </w:rPr>
        <w:t>-01</w:t>
      </w:r>
      <w:r>
        <w:rPr>
          <w:rFonts w:hint="eastAsia" w:eastAsia="黑体" w:cs="Times New Roman"/>
          <w:b/>
          <w:w w:val="102"/>
        </w:rPr>
        <w:t>、C</w:t>
      </w:r>
      <w:r>
        <w:rPr>
          <w:rFonts w:eastAsia="黑体" w:cs="Times New Roman"/>
          <w:b/>
          <w:w w:val="102"/>
        </w:rPr>
        <w:t>-02</w:t>
      </w:r>
      <w:r>
        <w:rPr>
          <w:rFonts w:hint="eastAsia" w:eastAsia="黑体" w:cs="Times New Roman"/>
          <w:b/>
          <w:w w:val="102"/>
        </w:rPr>
        <w:t>地块控制指标一览表</w:t>
      </w:r>
    </w:p>
    <w:tbl>
      <w:tblPr>
        <w:tblStyle w:val="16"/>
        <w:tblW w:w="499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3"/>
        <w:gridCol w:w="1391"/>
        <w:gridCol w:w="1312"/>
        <w:gridCol w:w="1645"/>
        <w:gridCol w:w="1621"/>
        <w:gridCol w:w="16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64" w:type="pct"/>
            <w:gridSpan w:val="2"/>
            <w:shd w:val="clear" w:color="auto" w:fill="D8D8D8" w:themeFill="background1" w:themeFillShade="D9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bookmarkStart w:id="3" w:name="_Hlk108789388"/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地块编号</w:t>
            </w:r>
          </w:p>
        </w:tc>
        <w:tc>
          <w:tcPr>
            <w:tcW w:w="770" w:type="pct"/>
            <w:shd w:val="clear" w:color="auto" w:fill="D8D8D8" w:themeFill="background1" w:themeFillShade="D9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-01-01</w:t>
            </w:r>
          </w:p>
        </w:tc>
        <w:tc>
          <w:tcPr>
            <w:tcW w:w="965" w:type="pct"/>
            <w:shd w:val="clear" w:color="auto" w:fill="D8D8D8" w:themeFill="background1" w:themeFillShade="D9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-01-02</w:t>
            </w:r>
          </w:p>
        </w:tc>
        <w:tc>
          <w:tcPr>
            <w:tcW w:w="951" w:type="pct"/>
            <w:shd w:val="clear" w:color="auto" w:fill="D8D8D8" w:themeFill="background1" w:themeFillShade="D9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-02-01</w:t>
            </w:r>
          </w:p>
        </w:tc>
        <w:tc>
          <w:tcPr>
            <w:tcW w:w="950" w:type="pct"/>
            <w:shd w:val="clear" w:color="auto" w:fill="D8D8D8" w:themeFill="background1" w:themeFillShade="D9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-02-02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用地性质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R21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G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R21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用地名称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公园绿地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二类居住用地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公园绿地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二类居住用地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用地面积（</w:t>
            </w:r>
            <w:r>
              <w:rPr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b/>
                <w:bCs/>
                <w:color w:val="000000" w:themeColor="text1"/>
                <w:vertAlign w:val="superscript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3051.43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6561.52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3422.63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81504.87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容积率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≤0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.05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2.0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≤0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.05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建筑密度（%）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＜1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＜1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建筑高度（m）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≤1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≤1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≤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54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64" w:type="pct"/>
            <w:gridSpan w:val="2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绿地率（%）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65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restart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停车位</w:t>
            </w:r>
          </w:p>
        </w:tc>
        <w:tc>
          <w:tcPr>
            <w:tcW w:w="816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机动车位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——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车位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户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——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1.0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车位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FF0000"/>
                <w:w w:val="102"/>
              </w:rPr>
            </w:pPr>
          </w:p>
        </w:tc>
        <w:tc>
          <w:tcPr>
            <w:tcW w:w="816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b/>
                <w:bCs/>
                <w:color w:val="FF0000"/>
                <w:w w:val="102"/>
              </w:rPr>
            </w:pPr>
            <w:r>
              <w:rPr>
                <w:rFonts w:hint="eastAsia"/>
                <w:b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非机动车位</w:t>
            </w:r>
          </w:p>
        </w:tc>
        <w:tc>
          <w:tcPr>
            <w:tcW w:w="77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——</w:t>
            </w:r>
          </w:p>
        </w:tc>
        <w:tc>
          <w:tcPr>
            <w:tcW w:w="965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车位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户</w:t>
            </w:r>
          </w:p>
        </w:tc>
        <w:tc>
          <w:tcPr>
            <w:tcW w:w="951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w w:val="102"/>
                <w14:textFill>
                  <w14:solidFill>
                    <w14:schemeClr w14:val="tx1"/>
                  </w14:solidFill>
                </w14:textFill>
              </w:rPr>
              <w:t>——</w:t>
            </w:r>
          </w:p>
        </w:tc>
        <w:tc>
          <w:tcPr>
            <w:tcW w:w="950" w:type="pct"/>
            <w:vAlign w:val="center"/>
          </w:tcPr>
          <w:p>
            <w:pPr>
              <w:pStyle w:val="26"/>
              <w:spacing w:line="36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2.0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车位</w:t>
            </w:r>
            <w: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户</w:t>
            </w:r>
          </w:p>
        </w:tc>
      </w:tr>
      <w:bookmarkEnd w:id="3"/>
    </w:tbl>
    <w:p>
      <w:pPr>
        <w:pStyle w:val="2"/>
        <w:rPr>
          <w:rFonts w:hint="eastAsia" w:eastAsia="宋体"/>
          <w:lang w:eastAsia="zh-CN"/>
        </w:rPr>
      </w:pPr>
    </w:p>
    <w:p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186680" cy="3666490"/>
            <wp:effectExtent l="0" t="0" r="13970" b="10160"/>
            <wp:docPr id="5" name="图片 5" descr="01区域及规划范围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1区域及规划范围图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86680" cy="3666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137150" cy="3631565"/>
            <wp:effectExtent l="0" t="0" r="6350" b="6985"/>
            <wp:docPr id="6" name="图片 6" descr="02用地现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02用地现状图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37150" cy="3631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eastAsia="宋体"/>
          <w:lang w:eastAsia="zh-CN"/>
        </w:rPr>
      </w:pPr>
    </w:p>
    <w:p>
      <w:pPr>
        <w:pStyle w:val="2"/>
        <w:rPr>
          <w:rFonts w:hint="eastAsia" w:eastAsia="宋体"/>
          <w:lang w:eastAsia="zh-CN"/>
        </w:rPr>
      </w:pPr>
    </w:p>
    <w:p>
      <w:pPr>
        <w:pStyle w:val="2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4150" cy="3721100"/>
            <wp:effectExtent l="0" t="0" r="12700" b="12700"/>
            <wp:docPr id="10" name="图片 10" descr="03用地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03用地规划图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ind w:left="0" w:leftChars="0" w:firstLine="0" w:firstLineChars="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7960" cy="3721735"/>
            <wp:effectExtent l="0" t="0" r="8890" b="12065"/>
            <wp:docPr id="11" name="图片 11" descr="360南侧地块最终(3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360南侧地块最终(3)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797" w:bottom="1440" w:left="1797" w:header="851" w:footer="708" w:gutter="0"/>
      <w:cols w:space="961" w:num="1"/>
      <w:docGrid w:type="lines" w:linePitch="326" w:charSpace="-450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D84BCE"/>
    <w:multiLevelType w:val="multilevel"/>
    <w:tmpl w:val="0DD84BCE"/>
    <w:lvl w:ilvl="0" w:tentative="0">
      <w:start w:val="1"/>
      <w:numFmt w:val="chineseCountingThousand"/>
      <w:pStyle w:val="7"/>
      <w:lvlText w:val="(%1)"/>
      <w:lvlJc w:val="left"/>
      <w:pPr>
        <w:ind w:left="620" w:hanging="420"/>
      </w:pPr>
    </w:lvl>
    <w:lvl w:ilvl="1" w:tentative="0">
      <w:start w:val="1"/>
      <w:numFmt w:val="lowerLetter"/>
      <w:lvlText w:val="%2)"/>
      <w:lvlJc w:val="left"/>
      <w:pPr>
        <w:ind w:left="1040" w:hanging="420"/>
      </w:pPr>
    </w:lvl>
    <w:lvl w:ilvl="2" w:tentative="0">
      <w:start w:val="1"/>
      <w:numFmt w:val="lowerRoman"/>
      <w:lvlText w:val="%3."/>
      <w:lvlJc w:val="right"/>
      <w:pPr>
        <w:ind w:left="1460" w:hanging="420"/>
      </w:pPr>
    </w:lvl>
    <w:lvl w:ilvl="3" w:tentative="0">
      <w:start w:val="1"/>
      <w:numFmt w:val="decimal"/>
      <w:lvlText w:val="%4."/>
      <w:lvlJc w:val="left"/>
      <w:pPr>
        <w:ind w:left="1880" w:hanging="420"/>
      </w:pPr>
    </w:lvl>
    <w:lvl w:ilvl="4" w:tentative="0">
      <w:start w:val="1"/>
      <w:numFmt w:val="lowerLetter"/>
      <w:lvlText w:val="%5)"/>
      <w:lvlJc w:val="left"/>
      <w:pPr>
        <w:ind w:left="2300" w:hanging="420"/>
      </w:pPr>
    </w:lvl>
    <w:lvl w:ilvl="5" w:tentative="0">
      <w:start w:val="1"/>
      <w:numFmt w:val="lowerRoman"/>
      <w:lvlText w:val="%6."/>
      <w:lvlJc w:val="right"/>
      <w:pPr>
        <w:ind w:left="2720" w:hanging="420"/>
      </w:pPr>
    </w:lvl>
    <w:lvl w:ilvl="6" w:tentative="0">
      <w:start w:val="1"/>
      <w:numFmt w:val="decimal"/>
      <w:lvlText w:val="%7."/>
      <w:lvlJc w:val="left"/>
      <w:pPr>
        <w:ind w:left="3140" w:hanging="420"/>
      </w:pPr>
    </w:lvl>
    <w:lvl w:ilvl="7" w:tentative="0">
      <w:start w:val="1"/>
      <w:numFmt w:val="lowerLetter"/>
      <w:lvlText w:val="%8)"/>
      <w:lvlJc w:val="left"/>
      <w:pPr>
        <w:ind w:left="3560" w:hanging="420"/>
      </w:pPr>
    </w:lvl>
    <w:lvl w:ilvl="8" w:tentative="0">
      <w:start w:val="1"/>
      <w:numFmt w:val="lowerRoman"/>
      <w:lvlText w:val="%9."/>
      <w:lvlJc w:val="right"/>
      <w:pPr>
        <w:ind w:left="3980" w:hanging="420"/>
      </w:pPr>
    </w:lvl>
  </w:abstractNum>
  <w:abstractNum w:abstractNumId="1">
    <w:nsid w:val="38927112"/>
    <w:multiLevelType w:val="multilevel"/>
    <w:tmpl w:val="38927112"/>
    <w:lvl w:ilvl="0" w:tentative="0">
      <w:start w:val="1"/>
      <w:numFmt w:val="chineseCountingThousand"/>
      <w:pStyle w:val="6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E0B3C7D"/>
    <w:multiLevelType w:val="multilevel"/>
    <w:tmpl w:val="4E0B3C7D"/>
    <w:lvl w:ilvl="0" w:tentative="0">
      <w:start w:val="1"/>
      <w:numFmt w:val="decimal"/>
      <w:pStyle w:val="8"/>
      <w:lvlText w:val="%1、"/>
      <w:lvlJc w:val="left"/>
      <w:pPr>
        <w:ind w:left="6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040" w:hanging="420"/>
      </w:pPr>
    </w:lvl>
    <w:lvl w:ilvl="2" w:tentative="0">
      <w:start w:val="1"/>
      <w:numFmt w:val="lowerRoman"/>
      <w:lvlText w:val="%3."/>
      <w:lvlJc w:val="right"/>
      <w:pPr>
        <w:ind w:left="1460" w:hanging="420"/>
      </w:pPr>
    </w:lvl>
    <w:lvl w:ilvl="3" w:tentative="0">
      <w:start w:val="1"/>
      <w:numFmt w:val="decimal"/>
      <w:lvlText w:val="%4."/>
      <w:lvlJc w:val="left"/>
      <w:pPr>
        <w:ind w:left="1880" w:hanging="420"/>
      </w:pPr>
    </w:lvl>
    <w:lvl w:ilvl="4" w:tentative="0">
      <w:start w:val="1"/>
      <w:numFmt w:val="lowerLetter"/>
      <w:lvlText w:val="%5)"/>
      <w:lvlJc w:val="left"/>
      <w:pPr>
        <w:ind w:left="2300" w:hanging="420"/>
      </w:pPr>
    </w:lvl>
    <w:lvl w:ilvl="5" w:tentative="0">
      <w:start w:val="1"/>
      <w:numFmt w:val="lowerRoman"/>
      <w:lvlText w:val="%6."/>
      <w:lvlJc w:val="right"/>
      <w:pPr>
        <w:ind w:left="2720" w:hanging="420"/>
      </w:pPr>
    </w:lvl>
    <w:lvl w:ilvl="6" w:tentative="0">
      <w:start w:val="1"/>
      <w:numFmt w:val="decimal"/>
      <w:lvlText w:val="%7."/>
      <w:lvlJc w:val="left"/>
      <w:pPr>
        <w:ind w:left="3140" w:hanging="420"/>
      </w:pPr>
    </w:lvl>
    <w:lvl w:ilvl="7" w:tentative="0">
      <w:start w:val="1"/>
      <w:numFmt w:val="lowerLetter"/>
      <w:lvlText w:val="%8)"/>
      <w:lvlJc w:val="left"/>
      <w:pPr>
        <w:ind w:left="3560" w:hanging="420"/>
      </w:pPr>
    </w:lvl>
    <w:lvl w:ilvl="8" w:tentative="0">
      <w:start w:val="1"/>
      <w:numFmt w:val="lowerRoman"/>
      <w:lvlText w:val="%9."/>
      <w:lvlJc w:val="right"/>
      <w:pPr>
        <w:ind w:left="3980" w:hanging="420"/>
      </w:pPr>
    </w:lvl>
  </w:abstractNum>
  <w:abstractNum w:abstractNumId="3">
    <w:nsid w:val="57924099"/>
    <w:multiLevelType w:val="multilevel"/>
    <w:tmpl w:val="57924099"/>
    <w:lvl w:ilvl="0" w:tentative="0">
      <w:start w:val="1"/>
      <w:numFmt w:val="chineseCountingThousand"/>
      <w:pStyle w:val="5"/>
      <w:lvlText w:val="第%1章"/>
      <w:lvlJc w:val="left"/>
      <w:pPr>
        <w:ind w:left="6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040" w:hanging="420"/>
      </w:pPr>
    </w:lvl>
    <w:lvl w:ilvl="2" w:tentative="0">
      <w:start w:val="1"/>
      <w:numFmt w:val="lowerRoman"/>
      <w:lvlText w:val="%3."/>
      <w:lvlJc w:val="right"/>
      <w:pPr>
        <w:ind w:left="1460" w:hanging="420"/>
      </w:pPr>
    </w:lvl>
    <w:lvl w:ilvl="3" w:tentative="0">
      <w:start w:val="1"/>
      <w:numFmt w:val="decimal"/>
      <w:lvlText w:val="%4."/>
      <w:lvlJc w:val="left"/>
      <w:pPr>
        <w:ind w:left="1880" w:hanging="420"/>
      </w:pPr>
    </w:lvl>
    <w:lvl w:ilvl="4" w:tentative="0">
      <w:start w:val="1"/>
      <w:numFmt w:val="lowerLetter"/>
      <w:lvlText w:val="%5)"/>
      <w:lvlJc w:val="left"/>
      <w:pPr>
        <w:ind w:left="2300" w:hanging="420"/>
      </w:pPr>
    </w:lvl>
    <w:lvl w:ilvl="5" w:tentative="0">
      <w:start w:val="1"/>
      <w:numFmt w:val="lowerRoman"/>
      <w:lvlText w:val="%6."/>
      <w:lvlJc w:val="right"/>
      <w:pPr>
        <w:ind w:left="2720" w:hanging="420"/>
      </w:pPr>
    </w:lvl>
    <w:lvl w:ilvl="6" w:tentative="0">
      <w:start w:val="1"/>
      <w:numFmt w:val="decimal"/>
      <w:lvlText w:val="%7."/>
      <w:lvlJc w:val="left"/>
      <w:pPr>
        <w:ind w:left="3140" w:hanging="420"/>
      </w:pPr>
    </w:lvl>
    <w:lvl w:ilvl="7" w:tentative="0">
      <w:start w:val="1"/>
      <w:numFmt w:val="lowerLetter"/>
      <w:lvlText w:val="%8)"/>
      <w:lvlJc w:val="left"/>
      <w:pPr>
        <w:ind w:left="3560" w:hanging="420"/>
      </w:pPr>
    </w:lvl>
    <w:lvl w:ilvl="8" w:tentative="0">
      <w:start w:val="1"/>
      <w:numFmt w:val="lowerRoman"/>
      <w:lvlText w:val="%9."/>
      <w:lvlJc w:val="right"/>
      <w:pPr>
        <w:ind w:left="3980" w:hanging="420"/>
      </w:pPr>
    </w:lvl>
  </w:abstractNum>
  <w:abstractNum w:abstractNumId="4">
    <w:nsid w:val="7C4771F2"/>
    <w:multiLevelType w:val="multilevel"/>
    <w:tmpl w:val="7C4771F2"/>
    <w:lvl w:ilvl="0" w:tentative="0">
      <w:start w:val="1"/>
      <w:numFmt w:val="decimal"/>
      <w:pStyle w:val="9"/>
      <w:lvlText w:val="(%1) "/>
      <w:lvlJc w:val="left"/>
      <w:pPr>
        <w:ind w:left="6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040" w:hanging="420"/>
      </w:pPr>
    </w:lvl>
    <w:lvl w:ilvl="2" w:tentative="0">
      <w:start w:val="1"/>
      <w:numFmt w:val="lowerRoman"/>
      <w:lvlText w:val="%3."/>
      <w:lvlJc w:val="right"/>
      <w:pPr>
        <w:ind w:left="1460" w:hanging="420"/>
      </w:pPr>
    </w:lvl>
    <w:lvl w:ilvl="3" w:tentative="0">
      <w:start w:val="1"/>
      <w:numFmt w:val="decimal"/>
      <w:lvlText w:val="%4."/>
      <w:lvlJc w:val="left"/>
      <w:pPr>
        <w:ind w:left="1880" w:hanging="420"/>
      </w:pPr>
    </w:lvl>
    <w:lvl w:ilvl="4" w:tentative="0">
      <w:start w:val="1"/>
      <w:numFmt w:val="lowerLetter"/>
      <w:lvlText w:val="%5)"/>
      <w:lvlJc w:val="left"/>
      <w:pPr>
        <w:ind w:left="2300" w:hanging="420"/>
      </w:pPr>
    </w:lvl>
    <w:lvl w:ilvl="5" w:tentative="0">
      <w:start w:val="1"/>
      <w:numFmt w:val="lowerRoman"/>
      <w:lvlText w:val="%6."/>
      <w:lvlJc w:val="right"/>
      <w:pPr>
        <w:ind w:left="2720" w:hanging="420"/>
      </w:pPr>
    </w:lvl>
    <w:lvl w:ilvl="6" w:tentative="0">
      <w:start w:val="1"/>
      <w:numFmt w:val="decimal"/>
      <w:lvlText w:val="%7."/>
      <w:lvlJc w:val="left"/>
      <w:pPr>
        <w:ind w:left="3140" w:hanging="420"/>
      </w:pPr>
    </w:lvl>
    <w:lvl w:ilvl="7" w:tentative="0">
      <w:start w:val="1"/>
      <w:numFmt w:val="lowerLetter"/>
      <w:lvlText w:val="%8)"/>
      <w:lvlJc w:val="left"/>
      <w:pPr>
        <w:ind w:left="3560" w:hanging="420"/>
      </w:pPr>
    </w:lvl>
    <w:lvl w:ilvl="8" w:tentative="0">
      <w:start w:val="1"/>
      <w:numFmt w:val="lowerRoman"/>
      <w:lvlText w:val="%9."/>
      <w:lvlJc w:val="right"/>
      <w:pPr>
        <w:ind w:left="3980" w:hanging="42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9"/>
  <w:drawingGridVerticalSpacing w:val="163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VkYTY3NDQ0MjNiZTZmMWMxMDE4MDZkNDg1ZDY2MTgifQ=="/>
  </w:docVars>
  <w:rsids>
    <w:rsidRoot w:val="009A480D"/>
    <w:rsid w:val="000527EB"/>
    <w:rsid w:val="0005771B"/>
    <w:rsid w:val="000854D4"/>
    <w:rsid w:val="00093222"/>
    <w:rsid w:val="000A17F5"/>
    <w:rsid w:val="000F58FF"/>
    <w:rsid w:val="00117A17"/>
    <w:rsid w:val="001324C8"/>
    <w:rsid w:val="00177223"/>
    <w:rsid w:val="00190F82"/>
    <w:rsid w:val="001B605A"/>
    <w:rsid w:val="001C31ED"/>
    <w:rsid w:val="001E333C"/>
    <w:rsid w:val="001E390C"/>
    <w:rsid w:val="002076B0"/>
    <w:rsid w:val="00214E77"/>
    <w:rsid w:val="00235CE8"/>
    <w:rsid w:val="002438D8"/>
    <w:rsid w:val="00244912"/>
    <w:rsid w:val="00255FCC"/>
    <w:rsid w:val="00262048"/>
    <w:rsid w:val="00272821"/>
    <w:rsid w:val="00273575"/>
    <w:rsid w:val="00277C3D"/>
    <w:rsid w:val="00292FD5"/>
    <w:rsid w:val="002A3506"/>
    <w:rsid w:val="002D7DF2"/>
    <w:rsid w:val="002E0044"/>
    <w:rsid w:val="003434AA"/>
    <w:rsid w:val="003E3B2F"/>
    <w:rsid w:val="00412E42"/>
    <w:rsid w:val="00441C06"/>
    <w:rsid w:val="0046281D"/>
    <w:rsid w:val="00465D20"/>
    <w:rsid w:val="004915A6"/>
    <w:rsid w:val="004A03F4"/>
    <w:rsid w:val="004C11FC"/>
    <w:rsid w:val="004C5E54"/>
    <w:rsid w:val="004D1AC1"/>
    <w:rsid w:val="004E1EDB"/>
    <w:rsid w:val="004F1B3D"/>
    <w:rsid w:val="004F75B5"/>
    <w:rsid w:val="0052436B"/>
    <w:rsid w:val="00530FEE"/>
    <w:rsid w:val="00547FEE"/>
    <w:rsid w:val="005544C1"/>
    <w:rsid w:val="00567519"/>
    <w:rsid w:val="00577985"/>
    <w:rsid w:val="005E20A1"/>
    <w:rsid w:val="005E7171"/>
    <w:rsid w:val="00612304"/>
    <w:rsid w:val="0061408F"/>
    <w:rsid w:val="00627B3D"/>
    <w:rsid w:val="00656638"/>
    <w:rsid w:val="00701CDA"/>
    <w:rsid w:val="00704A89"/>
    <w:rsid w:val="00722FAB"/>
    <w:rsid w:val="00741725"/>
    <w:rsid w:val="00747522"/>
    <w:rsid w:val="00750985"/>
    <w:rsid w:val="00781193"/>
    <w:rsid w:val="007A1167"/>
    <w:rsid w:val="00803BED"/>
    <w:rsid w:val="008237A6"/>
    <w:rsid w:val="008456F5"/>
    <w:rsid w:val="00852436"/>
    <w:rsid w:val="008819A2"/>
    <w:rsid w:val="008B6413"/>
    <w:rsid w:val="008C6966"/>
    <w:rsid w:val="00901A96"/>
    <w:rsid w:val="00914384"/>
    <w:rsid w:val="00955F63"/>
    <w:rsid w:val="00956E5D"/>
    <w:rsid w:val="00966D8B"/>
    <w:rsid w:val="00973EAE"/>
    <w:rsid w:val="00986A60"/>
    <w:rsid w:val="0099380B"/>
    <w:rsid w:val="009977D7"/>
    <w:rsid w:val="009A480D"/>
    <w:rsid w:val="009C2BFD"/>
    <w:rsid w:val="009D5C04"/>
    <w:rsid w:val="009E5F29"/>
    <w:rsid w:val="00A10F66"/>
    <w:rsid w:val="00A65B95"/>
    <w:rsid w:val="00AA14A1"/>
    <w:rsid w:val="00AC469A"/>
    <w:rsid w:val="00AE57F4"/>
    <w:rsid w:val="00B11BBD"/>
    <w:rsid w:val="00B20816"/>
    <w:rsid w:val="00B20B5E"/>
    <w:rsid w:val="00B342C0"/>
    <w:rsid w:val="00B73EA8"/>
    <w:rsid w:val="00BB6E76"/>
    <w:rsid w:val="00BC6779"/>
    <w:rsid w:val="00BE5D4F"/>
    <w:rsid w:val="00BF6494"/>
    <w:rsid w:val="00C0615E"/>
    <w:rsid w:val="00C25BE1"/>
    <w:rsid w:val="00C523F3"/>
    <w:rsid w:val="00C8356C"/>
    <w:rsid w:val="00CE0EB7"/>
    <w:rsid w:val="00D15F5E"/>
    <w:rsid w:val="00D21D77"/>
    <w:rsid w:val="00D6134B"/>
    <w:rsid w:val="00D77461"/>
    <w:rsid w:val="00D95C61"/>
    <w:rsid w:val="00D96A5B"/>
    <w:rsid w:val="00DB1C8D"/>
    <w:rsid w:val="00DC2BE9"/>
    <w:rsid w:val="00DE20E6"/>
    <w:rsid w:val="00DE5FFA"/>
    <w:rsid w:val="00E829B4"/>
    <w:rsid w:val="00E9664C"/>
    <w:rsid w:val="00EC35E7"/>
    <w:rsid w:val="00ED1BE3"/>
    <w:rsid w:val="00EE22F4"/>
    <w:rsid w:val="00F26466"/>
    <w:rsid w:val="00F50E50"/>
    <w:rsid w:val="00F533B1"/>
    <w:rsid w:val="00F759C8"/>
    <w:rsid w:val="00FA42D4"/>
    <w:rsid w:val="00FB04A7"/>
    <w:rsid w:val="00FF3BDF"/>
    <w:rsid w:val="15F517E5"/>
    <w:rsid w:val="22226FB6"/>
    <w:rsid w:val="223678FD"/>
    <w:rsid w:val="31B40B6B"/>
    <w:rsid w:val="38673A81"/>
    <w:rsid w:val="3D326F50"/>
    <w:rsid w:val="4ED012D6"/>
    <w:rsid w:val="54D63977"/>
    <w:rsid w:val="64DD65AD"/>
    <w:rsid w:val="6DD717B7"/>
    <w:rsid w:val="726769C5"/>
    <w:rsid w:val="75CB77F2"/>
    <w:rsid w:val="792F2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宋体" w:cstheme="minorBidi"/>
      <w:kern w:val="2"/>
      <w:sz w:val="24"/>
      <w:szCs w:val="22"/>
      <w:lang w:val="en-US" w:eastAsia="zh-CN" w:bidi="ar-SA"/>
    </w:rPr>
  </w:style>
  <w:style w:type="paragraph" w:styleId="5">
    <w:name w:val="heading 1"/>
    <w:basedOn w:val="1"/>
    <w:next w:val="1"/>
    <w:link w:val="21"/>
    <w:qFormat/>
    <w:uiPriority w:val="9"/>
    <w:pPr>
      <w:keepNext/>
      <w:keepLines/>
      <w:numPr>
        <w:ilvl w:val="0"/>
        <w:numId w:val="1"/>
      </w:numPr>
      <w:spacing w:before="260" w:after="200"/>
      <w:ind w:left="0" w:firstLine="0" w:firstLineChars="0"/>
      <w:jc w:val="center"/>
      <w:outlineLvl w:val="0"/>
    </w:pPr>
    <w:rPr>
      <w:b/>
      <w:bCs/>
      <w:kern w:val="44"/>
      <w:sz w:val="32"/>
      <w:szCs w:val="44"/>
    </w:rPr>
  </w:style>
  <w:style w:type="paragraph" w:styleId="6">
    <w:name w:val="heading 2"/>
    <w:basedOn w:val="1"/>
    <w:next w:val="1"/>
    <w:link w:val="22"/>
    <w:unhideWhenUsed/>
    <w:qFormat/>
    <w:uiPriority w:val="9"/>
    <w:pPr>
      <w:keepNext/>
      <w:keepLines/>
      <w:numPr>
        <w:ilvl w:val="0"/>
        <w:numId w:val="2"/>
      </w:numPr>
      <w:spacing w:before="200" w:after="160"/>
      <w:ind w:left="0" w:firstLine="0" w:firstLineChars="0"/>
      <w:jc w:val="left"/>
      <w:outlineLvl w:val="1"/>
    </w:pPr>
    <w:rPr>
      <w:rFonts w:cstheme="majorBidi"/>
      <w:b/>
      <w:bCs/>
      <w:sz w:val="28"/>
      <w:szCs w:val="32"/>
    </w:rPr>
  </w:style>
  <w:style w:type="paragraph" w:styleId="7">
    <w:name w:val="heading 3"/>
    <w:basedOn w:val="1"/>
    <w:next w:val="1"/>
    <w:link w:val="24"/>
    <w:unhideWhenUsed/>
    <w:qFormat/>
    <w:uiPriority w:val="9"/>
    <w:pPr>
      <w:keepNext/>
      <w:keepLines/>
      <w:numPr>
        <w:ilvl w:val="0"/>
        <w:numId w:val="3"/>
      </w:numPr>
      <w:spacing w:before="160" w:after="100"/>
      <w:ind w:left="198" w:firstLine="200"/>
      <w:jc w:val="left"/>
      <w:outlineLvl w:val="2"/>
    </w:pPr>
    <w:rPr>
      <w:b/>
      <w:bCs/>
      <w:sz w:val="30"/>
      <w:szCs w:val="32"/>
    </w:rPr>
  </w:style>
  <w:style w:type="paragraph" w:styleId="8">
    <w:name w:val="heading 4"/>
    <w:basedOn w:val="1"/>
    <w:next w:val="1"/>
    <w:link w:val="25"/>
    <w:unhideWhenUsed/>
    <w:qFormat/>
    <w:uiPriority w:val="9"/>
    <w:pPr>
      <w:keepNext/>
      <w:keepLines/>
      <w:numPr>
        <w:ilvl w:val="0"/>
        <w:numId w:val="4"/>
      </w:numPr>
      <w:spacing w:before="40"/>
      <w:ind w:left="198" w:firstLine="200"/>
      <w:jc w:val="left"/>
      <w:outlineLvl w:val="3"/>
    </w:pPr>
    <w:rPr>
      <w:rFonts w:cstheme="majorBidi"/>
      <w:b/>
      <w:bCs/>
      <w:sz w:val="28"/>
      <w:szCs w:val="28"/>
    </w:rPr>
  </w:style>
  <w:style w:type="paragraph" w:styleId="9">
    <w:name w:val="heading 5"/>
    <w:basedOn w:val="1"/>
    <w:next w:val="1"/>
    <w:link w:val="28"/>
    <w:unhideWhenUsed/>
    <w:qFormat/>
    <w:uiPriority w:val="9"/>
    <w:pPr>
      <w:keepNext/>
      <w:keepLines/>
      <w:numPr>
        <w:ilvl w:val="0"/>
        <w:numId w:val="5"/>
      </w:numPr>
      <w:ind w:left="198" w:firstLine="200"/>
      <w:outlineLvl w:val="4"/>
    </w:pPr>
    <w:rPr>
      <w:b/>
      <w:bCs/>
      <w:szCs w:val="28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1"/>
    <w:basedOn w:val="3"/>
    <w:unhideWhenUsed/>
    <w:qFormat/>
    <w:uiPriority w:val="99"/>
    <w:pPr>
      <w:spacing w:beforeLines="0" w:afterLines="0"/>
      <w:ind w:firstLine="420" w:firstLineChars="100"/>
    </w:pPr>
    <w:rPr>
      <w:rFonts w:hint="eastAsia"/>
      <w:sz w:val="21"/>
    </w:rPr>
  </w:style>
  <w:style w:type="paragraph" w:styleId="3">
    <w:name w:val="Body Text"/>
    <w:basedOn w:val="1"/>
    <w:next w:val="4"/>
    <w:unhideWhenUsed/>
    <w:qFormat/>
    <w:uiPriority w:val="99"/>
    <w:pPr>
      <w:spacing w:after="120"/>
    </w:pPr>
  </w:style>
  <w:style w:type="paragraph" w:styleId="4">
    <w:name w:val="Body Text 2"/>
    <w:basedOn w:val="1"/>
    <w:unhideWhenUsed/>
    <w:qFormat/>
    <w:uiPriority w:val="99"/>
    <w:pPr>
      <w:ind w:left="-45" w:leftChars="-45" w:hanging="132" w:hangingChars="45"/>
    </w:pPr>
    <w:rPr>
      <w:rFonts w:ascii="宋体" w:hAnsi="宋体"/>
      <w:szCs w:val="20"/>
    </w:rPr>
  </w:style>
  <w:style w:type="paragraph" w:styleId="10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unhideWhenUsed/>
    <w:qFormat/>
    <w:uiPriority w:val="39"/>
    <w:rPr>
      <w:rFonts w:cs="Times New Roman"/>
    </w:rPr>
  </w:style>
  <w:style w:type="paragraph" w:styleId="13">
    <w:name w:val="toc 2"/>
    <w:basedOn w:val="1"/>
    <w:next w:val="1"/>
    <w:unhideWhenUsed/>
    <w:qFormat/>
    <w:uiPriority w:val="39"/>
    <w:pPr>
      <w:ind w:left="420" w:leftChars="200"/>
    </w:pPr>
    <w:rPr>
      <w:rFonts w:cs="Times New Roman"/>
    </w:rPr>
  </w:style>
  <w:style w:type="paragraph" w:styleId="14">
    <w:name w:val="Title"/>
    <w:basedOn w:val="1"/>
    <w:next w:val="1"/>
    <w:link w:val="27"/>
    <w:qFormat/>
    <w:uiPriority w:val="10"/>
    <w:pPr>
      <w:spacing w:before="240" w:after="60"/>
      <w:jc w:val="center"/>
      <w:outlineLvl w:val="0"/>
    </w:pPr>
    <w:rPr>
      <w:rFonts w:eastAsia="黑体" w:cstheme="majorBidi"/>
      <w:b/>
      <w:bCs/>
      <w:szCs w:val="32"/>
    </w:rPr>
  </w:style>
  <w:style w:type="table" w:styleId="16">
    <w:name w:val="Table Grid"/>
    <w:basedOn w:val="1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unhideWhenUsed/>
    <w:qFormat/>
    <w:uiPriority w:val="99"/>
    <w:rPr>
      <w:color w:val="0000FF"/>
      <w:u w:val="single"/>
    </w:rPr>
  </w:style>
  <w:style w:type="character" w:customStyle="1" w:styleId="19">
    <w:name w:val="页眉 字符"/>
    <w:basedOn w:val="17"/>
    <w:link w:val="11"/>
    <w:qFormat/>
    <w:uiPriority w:val="99"/>
    <w:rPr>
      <w:rFonts w:ascii="Times New Roman" w:hAnsi="Times New Roman" w:eastAsia="宋体"/>
      <w:sz w:val="18"/>
      <w:szCs w:val="18"/>
    </w:rPr>
  </w:style>
  <w:style w:type="character" w:customStyle="1" w:styleId="20">
    <w:name w:val="页脚 字符"/>
    <w:basedOn w:val="17"/>
    <w:link w:val="10"/>
    <w:qFormat/>
    <w:uiPriority w:val="99"/>
    <w:rPr>
      <w:sz w:val="18"/>
      <w:szCs w:val="18"/>
    </w:rPr>
  </w:style>
  <w:style w:type="character" w:customStyle="1" w:styleId="21">
    <w:name w:val="标题 1 字符"/>
    <w:basedOn w:val="17"/>
    <w:link w:val="5"/>
    <w:qFormat/>
    <w:uiPriority w:val="9"/>
    <w:rPr>
      <w:rFonts w:ascii="Times New Roman" w:hAnsi="Times New Roman" w:eastAsia="宋体"/>
      <w:b/>
      <w:bCs/>
      <w:kern w:val="44"/>
      <w:sz w:val="32"/>
      <w:szCs w:val="44"/>
    </w:rPr>
  </w:style>
  <w:style w:type="character" w:customStyle="1" w:styleId="22">
    <w:name w:val="标题 2 字符"/>
    <w:basedOn w:val="17"/>
    <w:link w:val="6"/>
    <w:qFormat/>
    <w:uiPriority w:val="9"/>
    <w:rPr>
      <w:rFonts w:ascii="Times New Roman" w:hAnsi="Times New Roman" w:eastAsia="宋体" w:cstheme="majorBidi"/>
      <w:b/>
      <w:bCs/>
      <w:sz w:val="28"/>
      <w:szCs w:val="32"/>
    </w:rPr>
  </w:style>
  <w:style w:type="paragraph" w:styleId="23">
    <w:name w:val="List Paragraph"/>
    <w:basedOn w:val="1"/>
    <w:qFormat/>
    <w:uiPriority w:val="34"/>
    <w:pPr>
      <w:ind w:firstLine="420"/>
    </w:pPr>
  </w:style>
  <w:style w:type="character" w:customStyle="1" w:styleId="24">
    <w:name w:val="标题 3 字符"/>
    <w:basedOn w:val="17"/>
    <w:link w:val="7"/>
    <w:qFormat/>
    <w:uiPriority w:val="9"/>
    <w:rPr>
      <w:rFonts w:eastAsia="宋体"/>
      <w:b/>
      <w:bCs/>
      <w:sz w:val="30"/>
      <w:szCs w:val="32"/>
    </w:rPr>
  </w:style>
  <w:style w:type="character" w:customStyle="1" w:styleId="25">
    <w:name w:val="标题 4 字符"/>
    <w:basedOn w:val="17"/>
    <w:link w:val="8"/>
    <w:qFormat/>
    <w:uiPriority w:val="9"/>
    <w:rPr>
      <w:rFonts w:ascii="Times New Roman" w:hAnsi="Times New Roman" w:eastAsia="宋体" w:cstheme="majorBidi"/>
      <w:b/>
      <w:bCs/>
      <w:sz w:val="28"/>
      <w:szCs w:val="28"/>
    </w:rPr>
  </w:style>
  <w:style w:type="paragraph" w:customStyle="1" w:styleId="26">
    <w:name w:val="表格字体"/>
    <w:basedOn w:val="1"/>
    <w:qFormat/>
    <w:uiPriority w:val="0"/>
    <w:pPr>
      <w:spacing w:line="240" w:lineRule="auto"/>
      <w:ind w:firstLine="0" w:firstLineChars="0"/>
    </w:pPr>
    <w:rPr>
      <w:sz w:val="21"/>
    </w:rPr>
  </w:style>
  <w:style w:type="character" w:customStyle="1" w:styleId="27">
    <w:name w:val="标题 字符"/>
    <w:basedOn w:val="17"/>
    <w:link w:val="14"/>
    <w:qFormat/>
    <w:uiPriority w:val="10"/>
    <w:rPr>
      <w:rFonts w:ascii="Times New Roman" w:hAnsi="Times New Roman" w:eastAsia="黑体" w:cstheme="majorBidi"/>
      <w:b/>
      <w:bCs/>
      <w:sz w:val="24"/>
      <w:szCs w:val="32"/>
    </w:rPr>
  </w:style>
  <w:style w:type="character" w:customStyle="1" w:styleId="28">
    <w:name w:val="标题 5 字符"/>
    <w:basedOn w:val="17"/>
    <w:link w:val="9"/>
    <w:qFormat/>
    <w:uiPriority w:val="9"/>
    <w:rPr>
      <w:rFonts w:ascii="Times New Roman" w:hAnsi="Times New Roman" w:eastAsia="宋体"/>
      <w:b/>
      <w:bCs/>
      <w:sz w:val="24"/>
      <w:szCs w:val="28"/>
    </w:rPr>
  </w:style>
  <w:style w:type="character" w:customStyle="1" w:styleId="29">
    <w:name w:val="表头 Char"/>
    <w:link w:val="30"/>
    <w:qFormat/>
    <w:uiPriority w:val="0"/>
    <w:rPr>
      <w:rFonts w:ascii="Times New Roman" w:hAnsi="Times New Roman" w:eastAsia="黑体"/>
      <w:b/>
      <w:w w:val="102"/>
      <w:sz w:val="24"/>
    </w:rPr>
  </w:style>
  <w:style w:type="paragraph" w:customStyle="1" w:styleId="30">
    <w:name w:val="表头"/>
    <w:basedOn w:val="1"/>
    <w:link w:val="29"/>
    <w:qFormat/>
    <w:uiPriority w:val="0"/>
    <w:pPr>
      <w:spacing w:line="240" w:lineRule="auto"/>
      <w:ind w:firstLine="0" w:firstLineChars="0"/>
      <w:jc w:val="center"/>
    </w:pPr>
    <w:rPr>
      <w:rFonts w:eastAsia="黑体"/>
      <w:b/>
      <w:w w:val="102"/>
    </w:rPr>
  </w:style>
  <w:style w:type="table" w:customStyle="1" w:styleId="31">
    <w:name w:val="网格型1"/>
    <w:basedOn w:val="15"/>
    <w:unhideWhenUsed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2">
    <w:name w:val="网格型2"/>
    <w:basedOn w:val="15"/>
    <w:unhideWhenUsed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3">
    <w:name w:val="网格型3"/>
    <w:basedOn w:val="15"/>
    <w:unhideWhenUsed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4">
    <w:name w:val="网格型4"/>
    <w:basedOn w:val="15"/>
    <w:unhideWhenUsed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2" Type="http://schemas.openxmlformats.org/officeDocument/2006/relationships/fontTable" Target="fontTable.xml"/><Relationship Id="rId21" Type="http://schemas.openxmlformats.org/officeDocument/2006/relationships/customXml" Target="../customXml/item1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8.jpeg"/><Relationship Id="rId18" Type="http://schemas.openxmlformats.org/officeDocument/2006/relationships/image" Target="media/image7.jpeg"/><Relationship Id="rId17" Type="http://schemas.openxmlformats.org/officeDocument/2006/relationships/image" Target="media/image6.jpeg"/><Relationship Id="rId16" Type="http://schemas.openxmlformats.org/officeDocument/2006/relationships/image" Target="media/image5.jpeg"/><Relationship Id="rId15" Type="http://schemas.openxmlformats.org/officeDocument/2006/relationships/image" Target="media/image4.jpeg"/><Relationship Id="rId14" Type="http://schemas.openxmlformats.org/officeDocument/2006/relationships/image" Target="media/image3.jpeg"/><Relationship Id="rId13" Type="http://schemas.openxmlformats.org/officeDocument/2006/relationships/image" Target="media/image2.jpeg"/><Relationship Id="rId12" Type="http://schemas.openxmlformats.org/officeDocument/2006/relationships/image" Target="media/image1.jpeg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EDA12-F5AA-4B4B-9197-F0F2026E37E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917</Words>
  <Characters>1170</Characters>
  <Lines>2</Lines>
  <Paragraphs>1</Paragraphs>
  <TotalTime>4</TotalTime>
  <ScaleCrop>false</ScaleCrop>
  <LinksUpToDate>false</LinksUpToDate>
  <CharactersWithSpaces>1187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2020-11-23T04:33:00Z</dcterms:created>
  <dc:creator>Administrator</dc:creator>
  <cp:lastModifiedBy>献华</cp:lastModifiedBy>
  <cp:lastPrinted>2022-08-09T03:25:00Z</cp:lastPrinted>
  <dcterms:modified xsi:type="dcterms:W3CDTF">2022-09-12T02:04:12Z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581B7D19820F483999530FE8656EEA25</vt:lpwstr>
  </property>
</Properties>
</file>