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870" w:firstLineChars="200"/>
        <w:jc w:val="both"/>
        <w:rPr>
          <w:rFonts w:ascii="微软简标宋" w:hAnsi="微软简标宋" w:eastAsia="微软简标宋" w:cs="微软简标宋"/>
          <w:w w:val="99"/>
          <w:sz w:val="44"/>
          <w:szCs w:val="44"/>
        </w:rPr>
      </w:pPr>
      <w:r>
        <w:rPr>
          <w:rFonts w:hint="eastAsia" w:ascii="微软简标宋" w:hAnsi="微软简标宋" w:eastAsia="微软简标宋" w:cs="微软简标宋"/>
          <w:w w:val="99"/>
          <w:sz w:val="44"/>
          <w:szCs w:val="44"/>
        </w:rPr>
        <w:t>太康县财政局行政职权目录（2019）</w:t>
      </w:r>
    </w:p>
    <w:p>
      <w:pPr>
        <w:adjustRightInd w:val="0"/>
        <w:snapToGrid w:val="0"/>
        <w:jc w:val="center"/>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（共计65项）</w:t>
      </w:r>
      <w:bookmarkStart w:id="0" w:name="_GoBack"/>
      <w:bookmarkEnd w:id="0"/>
    </w:p>
    <w:p>
      <w:pPr>
        <w:adjustRightInd w:val="0"/>
        <w:snapToGrid w:val="0"/>
        <w:jc w:val="center"/>
        <w:rPr>
          <w:rFonts w:ascii="楷体_GB2312" w:hAnsi="楷体_GB2312" w:eastAsia="楷体_GB2312" w:cs="楷体_GB2312"/>
          <w:sz w:val="32"/>
          <w:szCs w:val="32"/>
        </w:rPr>
      </w:pPr>
    </w:p>
    <w:tbl>
      <w:tblPr>
        <w:tblStyle w:val="8"/>
        <w:tblW w:w="8805" w:type="dxa"/>
        <w:tblInd w:w="93" w:type="dxa"/>
        <w:tblLayout w:type="autofit"/>
        <w:tblCellMar>
          <w:top w:w="0" w:type="dxa"/>
          <w:left w:w="108" w:type="dxa"/>
          <w:bottom w:w="0" w:type="dxa"/>
          <w:right w:w="108" w:type="dxa"/>
        </w:tblCellMar>
      </w:tblPr>
      <w:tblGrid>
        <w:gridCol w:w="920"/>
        <w:gridCol w:w="1405"/>
        <w:gridCol w:w="6480"/>
      </w:tblGrid>
      <w:tr>
        <w:tblPrEx>
          <w:tblCellMar>
            <w:top w:w="0" w:type="dxa"/>
            <w:left w:w="108" w:type="dxa"/>
            <w:bottom w:w="0" w:type="dxa"/>
            <w:right w:w="108" w:type="dxa"/>
          </w:tblCellMar>
        </w:tblPrEx>
        <w:trPr>
          <w:trHeight w:val="900" w:hRule="atLeast"/>
        </w:trPr>
        <w:tc>
          <w:tcPr>
            <w:tcW w:w="920" w:type="dxa"/>
            <w:tcBorders>
              <w:top w:val="single" w:color="auto" w:sz="4" w:space="0"/>
              <w:left w:val="single" w:color="auto" w:sz="4" w:space="0"/>
              <w:bottom w:val="nil"/>
              <w:right w:val="single" w:color="auto" w:sz="4" w:space="0"/>
            </w:tcBorders>
            <w:vAlign w:val="center"/>
          </w:tcPr>
          <w:p>
            <w:pPr>
              <w:widowControl/>
              <w:jc w:val="center"/>
              <w:rPr>
                <w:rFonts w:ascii="黑体" w:hAnsi="黑体" w:eastAsia="黑体" w:cs="黑体"/>
                <w:kern w:val="0"/>
                <w:sz w:val="32"/>
                <w:szCs w:val="32"/>
              </w:rPr>
            </w:pPr>
            <w:r>
              <w:rPr>
                <w:rFonts w:hint="eastAsia" w:ascii="黑体" w:hAnsi="黑体" w:eastAsia="黑体" w:cs="黑体"/>
                <w:kern w:val="0"/>
                <w:sz w:val="32"/>
                <w:szCs w:val="32"/>
              </w:rPr>
              <w:t>序号</w:t>
            </w:r>
          </w:p>
        </w:tc>
        <w:tc>
          <w:tcPr>
            <w:tcW w:w="1405" w:type="dxa"/>
            <w:tcBorders>
              <w:top w:val="single" w:color="auto" w:sz="4" w:space="0"/>
              <w:left w:val="nil"/>
              <w:bottom w:val="nil"/>
              <w:right w:val="single" w:color="auto" w:sz="4" w:space="0"/>
            </w:tcBorders>
            <w:vAlign w:val="center"/>
          </w:tcPr>
          <w:p>
            <w:pPr>
              <w:widowControl/>
              <w:jc w:val="center"/>
              <w:rPr>
                <w:rFonts w:ascii="黑体" w:hAnsi="黑体" w:eastAsia="黑体" w:cs="黑体"/>
                <w:kern w:val="0"/>
                <w:sz w:val="32"/>
                <w:szCs w:val="32"/>
              </w:rPr>
            </w:pPr>
            <w:r>
              <w:rPr>
                <w:rFonts w:hint="eastAsia" w:ascii="黑体" w:hAnsi="黑体" w:eastAsia="黑体" w:cs="黑体"/>
                <w:kern w:val="0"/>
                <w:sz w:val="32"/>
                <w:szCs w:val="32"/>
              </w:rPr>
              <w:t>类别</w:t>
            </w:r>
          </w:p>
        </w:tc>
        <w:tc>
          <w:tcPr>
            <w:tcW w:w="6480" w:type="dxa"/>
            <w:tcBorders>
              <w:top w:val="single" w:color="auto" w:sz="4" w:space="0"/>
              <w:left w:val="nil"/>
              <w:bottom w:val="nil"/>
              <w:right w:val="single" w:color="auto" w:sz="4" w:space="0"/>
            </w:tcBorders>
            <w:vAlign w:val="center"/>
          </w:tcPr>
          <w:p>
            <w:pPr>
              <w:widowControl/>
              <w:jc w:val="center"/>
              <w:rPr>
                <w:rFonts w:ascii="黑体" w:hAnsi="黑体" w:eastAsia="黑体" w:cs="黑体"/>
                <w:kern w:val="0"/>
                <w:sz w:val="32"/>
                <w:szCs w:val="32"/>
              </w:rPr>
            </w:pPr>
            <w:r>
              <w:rPr>
                <w:rFonts w:hint="eastAsia" w:ascii="黑体" w:hAnsi="黑体" w:eastAsia="黑体" w:cs="黑体"/>
                <w:kern w:val="0"/>
                <w:sz w:val="32"/>
                <w:szCs w:val="32"/>
              </w:rPr>
              <w:t>职权名称及数量</w:t>
            </w:r>
          </w:p>
        </w:tc>
      </w:tr>
      <w:tr>
        <w:tblPrEx>
          <w:tblCellMar>
            <w:top w:w="0" w:type="dxa"/>
            <w:left w:w="108" w:type="dxa"/>
            <w:bottom w:w="0" w:type="dxa"/>
            <w:right w:w="108" w:type="dxa"/>
          </w:tblCellMar>
        </w:tblPrEx>
        <w:trPr>
          <w:trHeight w:val="570"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行政许可</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共1项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会计代理记账机构执业资格认定</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行政处罚</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共25项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采购人、采购代理机构政府采购违法行为的处罚</w:t>
            </w:r>
          </w:p>
        </w:tc>
      </w:tr>
      <w:tr>
        <w:tblPrEx>
          <w:tblCellMar>
            <w:top w:w="0" w:type="dxa"/>
            <w:left w:w="108" w:type="dxa"/>
            <w:bottom w:w="0" w:type="dxa"/>
            <w:right w:w="108" w:type="dxa"/>
          </w:tblCellMar>
        </w:tblPrEx>
        <w:trPr>
          <w:trHeight w:val="762" w:hRule="atLeast"/>
        </w:trPr>
        <w:tc>
          <w:tcPr>
            <w:tcW w:w="920" w:type="dxa"/>
            <w:tcBorders>
              <w:top w:val="nil"/>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1405" w:type="dxa"/>
            <w:tcBorders>
              <w:top w:val="nil"/>
              <w:left w:val="nil"/>
              <w:bottom w:val="single" w:color="auto" w:sz="4" w:space="0"/>
              <w:right w:val="single" w:color="auto" w:sz="4" w:space="0"/>
            </w:tcBorders>
            <w:vAlign w:val="center"/>
          </w:tcPr>
          <w:p>
            <w:pPr>
              <w:widowControl/>
              <w:spacing w:line="46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46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采购人、采购代理机构及其工作人员恶意串通、获取不正当利益、提供虚假材料、泄露标的等的处罚</w:t>
            </w:r>
          </w:p>
        </w:tc>
      </w:tr>
      <w:tr>
        <w:tblPrEx>
          <w:tblCellMar>
            <w:top w:w="0" w:type="dxa"/>
            <w:left w:w="108" w:type="dxa"/>
            <w:bottom w:w="0" w:type="dxa"/>
            <w:right w:w="108" w:type="dxa"/>
          </w:tblCellMar>
        </w:tblPrEx>
        <w:trPr>
          <w:trHeight w:val="76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采购人、采购代理机构隐匿、销毁应当保存的采购文件或者伪造、变造采购文件的处罚</w:t>
            </w:r>
          </w:p>
        </w:tc>
      </w:tr>
      <w:tr>
        <w:tblPrEx>
          <w:tblCellMar>
            <w:top w:w="0" w:type="dxa"/>
            <w:left w:w="108" w:type="dxa"/>
            <w:bottom w:w="0" w:type="dxa"/>
            <w:right w:w="108" w:type="dxa"/>
          </w:tblCellMar>
        </w:tblPrEx>
        <w:trPr>
          <w:trHeight w:val="63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供应商违法行为的处罚</w:t>
            </w:r>
          </w:p>
        </w:tc>
      </w:tr>
      <w:tr>
        <w:tblPrEx>
          <w:tblCellMar>
            <w:top w:w="0" w:type="dxa"/>
            <w:left w:w="108" w:type="dxa"/>
            <w:bottom w:w="0" w:type="dxa"/>
            <w:right w:w="108" w:type="dxa"/>
          </w:tblCellMar>
        </w:tblPrEx>
        <w:trPr>
          <w:trHeight w:val="762" w:hRule="atLeast"/>
        </w:trPr>
        <w:tc>
          <w:tcPr>
            <w:tcW w:w="9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405" w:type="dxa"/>
            <w:tcBorders>
              <w:top w:val="nil"/>
              <w:left w:val="nil"/>
              <w:bottom w:val="single" w:color="auto" w:sz="4" w:space="0"/>
              <w:right w:val="single" w:color="auto" w:sz="4" w:space="0"/>
            </w:tcBorders>
            <w:vAlign w:val="center"/>
          </w:tcPr>
          <w:p>
            <w:pPr>
              <w:widowControl/>
              <w:spacing w:line="4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4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采购人未编制采购计划、规避招标、违规确定供应商、未依法管理合同、未依法采用非招标方式等行为的处罚</w:t>
            </w:r>
          </w:p>
        </w:tc>
      </w:tr>
      <w:tr>
        <w:tblPrEx>
          <w:tblCellMar>
            <w:top w:w="0" w:type="dxa"/>
            <w:left w:w="108" w:type="dxa"/>
            <w:bottom w:w="0" w:type="dxa"/>
            <w:right w:w="108" w:type="dxa"/>
          </w:tblCellMar>
        </w:tblPrEx>
        <w:trPr>
          <w:trHeight w:val="76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集中采购机构内部制度不健全、依法应当分设分离的岗位和人员未分设分离；将集中采购项目委托其他采购代理机构采购；从事营利活动的处罚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采购人员与供应商有利害关系而不依法回避的处罚</w:t>
            </w:r>
          </w:p>
        </w:tc>
      </w:tr>
      <w:tr>
        <w:tblPrEx>
          <w:tblCellMar>
            <w:top w:w="0" w:type="dxa"/>
            <w:left w:w="108" w:type="dxa"/>
            <w:bottom w:w="0" w:type="dxa"/>
            <w:right w:w="108" w:type="dxa"/>
          </w:tblCellMar>
        </w:tblPrEx>
        <w:trPr>
          <w:trHeight w:val="76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评审专家未依法独立评审、泄露评审情况；应回避而未回避；收受贿赂或获取其他不正当利益、存在明显不合理或不正当倾向性等行为的处罚</w:t>
            </w:r>
          </w:p>
        </w:tc>
      </w:tr>
      <w:tr>
        <w:tblPrEx>
          <w:tblCellMar>
            <w:top w:w="0" w:type="dxa"/>
            <w:left w:w="108" w:type="dxa"/>
            <w:bottom w:w="0" w:type="dxa"/>
            <w:right w:w="108" w:type="dxa"/>
          </w:tblCellMar>
        </w:tblPrEx>
        <w:trPr>
          <w:trHeight w:val="1690"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采购人、采购代理机构应公告而未公告、不在指定媒体公告、不同媒体公告内容不一致、未按规定期限公告、公告信息不真实、排斥潜在供应商等行为的处罚</w:t>
            </w:r>
          </w:p>
        </w:tc>
      </w:tr>
      <w:tr>
        <w:tblPrEx>
          <w:tblCellMar>
            <w:top w:w="0" w:type="dxa"/>
            <w:left w:w="108" w:type="dxa"/>
            <w:bottom w:w="0" w:type="dxa"/>
            <w:right w:w="108" w:type="dxa"/>
          </w:tblCellMar>
        </w:tblPrEx>
        <w:trPr>
          <w:trHeight w:val="600"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政府采购信息指定发布媒体违反政府采购信息管理行为的处罚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非法干预政府采购信息公告的处罚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违反规定印制和使用财政票据的处罚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13</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金融企业国有资产评估违法、违规的处罚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14</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金融企业国有资产转让违规的处罚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企业国有资产产权登记违反规定的处罚</w:t>
            </w:r>
          </w:p>
        </w:tc>
      </w:tr>
      <w:tr>
        <w:tblPrEx>
          <w:tblCellMar>
            <w:top w:w="0" w:type="dxa"/>
            <w:left w:w="108" w:type="dxa"/>
            <w:bottom w:w="0" w:type="dxa"/>
            <w:right w:w="108" w:type="dxa"/>
          </w:tblCellMar>
        </w:tblPrEx>
        <w:trPr>
          <w:trHeight w:val="12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16</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企业不按照规定建立内部财务管理制度；内部财务管理制度明显与国家法律、法规和统一的财务管理规章制度相抵触，且不按财政部门要求修改的；不按照规定提供财务信息的；拒绝、阻扰依法实施的财务监督的处罚</w:t>
            </w:r>
          </w:p>
        </w:tc>
      </w:tr>
      <w:tr>
        <w:tblPrEx>
          <w:tblCellMar>
            <w:top w:w="0" w:type="dxa"/>
            <w:left w:w="108" w:type="dxa"/>
            <w:bottom w:w="0" w:type="dxa"/>
            <w:right w:w="108" w:type="dxa"/>
          </w:tblCellMar>
        </w:tblPrEx>
        <w:trPr>
          <w:trHeight w:val="70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17</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金融企业在报送国有资本保值增值材料中存在故意漏报、瞒报以及提供虚假材料等情况的处罚</w:t>
            </w:r>
          </w:p>
        </w:tc>
      </w:tr>
      <w:tr>
        <w:tblPrEx>
          <w:tblCellMar>
            <w:top w:w="0" w:type="dxa"/>
            <w:left w:w="108" w:type="dxa"/>
            <w:bottom w:w="0" w:type="dxa"/>
            <w:right w:w="108" w:type="dxa"/>
          </w:tblCellMar>
        </w:tblPrEx>
        <w:trPr>
          <w:trHeight w:val="70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单位和个人违反国家有关投资建设项目规定行为的处罚</w:t>
            </w:r>
          </w:p>
        </w:tc>
      </w:tr>
      <w:tr>
        <w:tblPrEx>
          <w:tblCellMar>
            <w:top w:w="0" w:type="dxa"/>
            <w:left w:w="108" w:type="dxa"/>
            <w:bottom w:w="0" w:type="dxa"/>
            <w:right w:w="108" w:type="dxa"/>
          </w:tblCellMar>
        </w:tblPrEx>
        <w:trPr>
          <w:trHeight w:val="70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19</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国家机关及其工作人员违反《中华人民共和国担保法》及国家有关规定，擅自提供担保的处罚</w:t>
            </w:r>
          </w:p>
        </w:tc>
      </w:tr>
      <w:tr>
        <w:tblPrEx>
          <w:tblCellMar>
            <w:top w:w="0" w:type="dxa"/>
            <w:left w:w="108" w:type="dxa"/>
            <w:bottom w:w="0" w:type="dxa"/>
            <w:right w:w="108" w:type="dxa"/>
          </w:tblCellMar>
        </w:tblPrEx>
        <w:trPr>
          <w:trHeight w:val="70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国家机关及其工作人员违反规定使用、骗取政府承贷或者担保的外国政府贷款、国际金融组织贷款的处罚</w:t>
            </w:r>
          </w:p>
        </w:tc>
      </w:tr>
      <w:tr>
        <w:tblPrEx>
          <w:tblCellMar>
            <w:top w:w="0" w:type="dxa"/>
            <w:left w:w="108" w:type="dxa"/>
            <w:bottom w:w="0" w:type="dxa"/>
            <w:right w:w="108" w:type="dxa"/>
          </w:tblCellMar>
        </w:tblPrEx>
        <w:trPr>
          <w:trHeight w:val="70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21</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违反规定使用、骗取财政资金以及政府承贷或者担保的外国政府贷款、国际金融组织贷款行为的处罚</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22</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单位和个人违反财务管理规定私存私放财政资金或者其他公款的处罚</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被监督对象阻挠、拒绝监督检查或者不如实提供有关资料、实物的处罚</w:t>
            </w:r>
          </w:p>
        </w:tc>
      </w:tr>
      <w:tr>
        <w:tblPrEx>
          <w:tblCellMar>
            <w:top w:w="0" w:type="dxa"/>
            <w:left w:w="108" w:type="dxa"/>
            <w:bottom w:w="0" w:type="dxa"/>
            <w:right w:w="108" w:type="dxa"/>
          </w:tblCellMar>
        </w:tblPrEx>
        <w:trPr>
          <w:trHeight w:val="70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24</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国家机关及其工作人员违反国家有关账户管理规定，擅自在金融机构开立、使用账户的处罚</w:t>
            </w:r>
          </w:p>
        </w:tc>
      </w:tr>
      <w:tr>
        <w:tblPrEx>
          <w:tblCellMar>
            <w:top w:w="0" w:type="dxa"/>
            <w:left w:w="108" w:type="dxa"/>
            <w:bottom w:w="0" w:type="dxa"/>
            <w:right w:w="108" w:type="dxa"/>
          </w:tblCellMar>
        </w:tblPrEx>
        <w:trPr>
          <w:trHeight w:val="70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代理记账机构采取欺骗手段获得代理记账许可证书、在经营期间未保持设立条件的处罚</w:t>
            </w:r>
          </w:p>
        </w:tc>
      </w:tr>
      <w:tr>
        <w:tblPrEx>
          <w:tblCellMar>
            <w:top w:w="0" w:type="dxa"/>
            <w:left w:w="108" w:type="dxa"/>
            <w:bottom w:w="0" w:type="dxa"/>
            <w:right w:w="108" w:type="dxa"/>
          </w:tblCellMar>
        </w:tblPrEx>
        <w:trPr>
          <w:trHeight w:val="69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行政强制</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共0项</w:t>
            </w:r>
          </w:p>
        </w:tc>
      </w:tr>
      <w:tr>
        <w:tblPrEx>
          <w:tblCellMar>
            <w:top w:w="0" w:type="dxa"/>
            <w:left w:w="108" w:type="dxa"/>
            <w:bottom w:w="0" w:type="dxa"/>
            <w:right w:w="108" w:type="dxa"/>
          </w:tblCellMar>
        </w:tblPrEx>
        <w:trPr>
          <w:trHeight w:val="63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四</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行政征收</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共0项</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五</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行政给付</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共1项</w:t>
            </w:r>
          </w:p>
        </w:tc>
      </w:tr>
      <w:tr>
        <w:tblPrEx>
          <w:tblCellMar>
            <w:top w:w="0" w:type="dxa"/>
            <w:left w:w="108" w:type="dxa"/>
            <w:bottom w:w="0" w:type="dxa"/>
            <w:right w:w="108" w:type="dxa"/>
          </w:tblCellMar>
        </w:tblPrEx>
        <w:trPr>
          <w:trHeight w:val="63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国家赔偿费用管理</w:t>
            </w:r>
          </w:p>
        </w:tc>
      </w:tr>
      <w:tr>
        <w:tblPrEx>
          <w:tblCellMar>
            <w:top w:w="0" w:type="dxa"/>
            <w:left w:w="108" w:type="dxa"/>
            <w:bottom w:w="0" w:type="dxa"/>
            <w:right w:w="108" w:type="dxa"/>
          </w:tblCellMar>
        </w:tblPrEx>
        <w:trPr>
          <w:trHeight w:val="48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六</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行政检查</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共8项</w:t>
            </w:r>
          </w:p>
        </w:tc>
      </w:tr>
      <w:tr>
        <w:tblPrEx>
          <w:tblCellMar>
            <w:top w:w="0" w:type="dxa"/>
            <w:left w:w="108" w:type="dxa"/>
            <w:bottom w:w="0" w:type="dxa"/>
            <w:right w:w="108" w:type="dxa"/>
          </w:tblCellMar>
        </w:tblPrEx>
        <w:trPr>
          <w:trHeight w:val="555"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政府采购法规、政策的执行情况监督检查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社会保障基金、住房公积金等资金征收、使用和管理情况监督检查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财政票据监督检查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财政法律、法规、规章及政策的执行情况监督检查</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财政专项资金监督检查</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整改落实情况监督检查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会计监督检查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代理记账机构监督检查</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七</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行政确认</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共1项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政府采购中标成交结果无效认定</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八</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其他职权</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共29项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代理记账机构变更登记、年度报备、注销</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财政性资金投资项目的预（概）算评审</w:t>
            </w:r>
          </w:p>
        </w:tc>
      </w:tr>
      <w:tr>
        <w:tblPrEx>
          <w:tblCellMar>
            <w:top w:w="0" w:type="dxa"/>
            <w:left w:w="108" w:type="dxa"/>
            <w:bottom w:w="0" w:type="dxa"/>
            <w:right w:w="108" w:type="dxa"/>
          </w:tblCellMar>
        </w:tblPrEx>
        <w:trPr>
          <w:trHeight w:val="499"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3</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财政性资金投资项目的结（决）算评审</w:t>
            </w:r>
          </w:p>
        </w:tc>
      </w:tr>
      <w:tr>
        <w:tblPrEx>
          <w:tblCellMar>
            <w:top w:w="0" w:type="dxa"/>
            <w:left w:w="108" w:type="dxa"/>
            <w:bottom w:w="0" w:type="dxa"/>
            <w:right w:w="108" w:type="dxa"/>
          </w:tblCellMar>
        </w:tblPrEx>
        <w:trPr>
          <w:trHeight w:val="499"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供应商投诉处理</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5</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指定政府采购信息发布媒体</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6</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政府采购评审专家资格审核及检验复审</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7</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政府采购异地抽取专家备案</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中标成交结果变更备案</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9</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终止采购活动、撤销采购合同、责成重新开展政府采购活动</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10</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政府采购方式变更批准</w:t>
            </w:r>
          </w:p>
        </w:tc>
      </w:tr>
      <w:tr>
        <w:tblPrEx>
          <w:tblCellMar>
            <w:top w:w="0" w:type="dxa"/>
            <w:left w:w="108" w:type="dxa"/>
            <w:bottom w:w="0" w:type="dxa"/>
            <w:right w:w="108" w:type="dxa"/>
          </w:tblCellMar>
        </w:tblPrEx>
        <w:trPr>
          <w:trHeight w:val="499"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11</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土地出让金管理</w:t>
            </w:r>
          </w:p>
        </w:tc>
      </w:tr>
      <w:tr>
        <w:tblPrEx>
          <w:tblCellMar>
            <w:top w:w="0" w:type="dxa"/>
            <w:left w:w="108" w:type="dxa"/>
            <w:bottom w:w="0" w:type="dxa"/>
            <w:right w:w="108" w:type="dxa"/>
          </w:tblCellMar>
        </w:tblPrEx>
        <w:trPr>
          <w:trHeight w:val="70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新增建设用地土地有偿使用费支出资金管理（即土地综合整治和开发项目、补充耕地项目管理）</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13</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保障性住房专项建设资金管理</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14</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财政票据发放、核销、销毁</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15</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《财政票据领购证》核发</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16</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财政专项资金的分配与绩效评价</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17</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金融类企业国有资产产权登记</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18</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金融企业绩效评价</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19</w:t>
            </w:r>
          </w:p>
        </w:tc>
        <w:tc>
          <w:tcPr>
            <w:tcW w:w="1405" w:type="dxa"/>
            <w:tcBorders>
              <w:top w:val="nil"/>
              <w:left w:val="nil"/>
              <w:bottom w:val="single" w:color="auto" w:sz="4" w:space="0"/>
              <w:right w:val="single" w:color="auto" w:sz="4" w:space="0"/>
            </w:tcBorders>
            <w:noWrap/>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对本地区国际金融组织和外国政府贷款、赠款的全过程管理</w:t>
            </w:r>
          </w:p>
        </w:tc>
      </w:tr>
      <w:tr>
        <w:tblPrEx>
          <w:tblCellMar>
            <w:top w:w="0" w:type="dxa"/>
            <w:left w:w="108" w:type="dxa"/>
            <w:bottom w:w="0" w:type="dxa"/>
            <w:right w:w="108" w:type="dxa"/>
          </w:tblCellMar>
        </w:tblPrEx>
        <w:trPr>
          <w:trHeight w:val="510"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w:t>
            </w:r>
          </w:p>
        </w:tc>
        <w:tc>
          <w:tcPr>
            <w:tcW w:w="1405" w:type="dxa"/>
            <w:tcBorders>
              <w:top w:val="single" w:color="auto" w:sz="4" w:space="0"/>
              <w:left w:val="single" w:color="auto" w:sz="4" w:space="0"/>
              <w:bottom w:val="single" w:color="auto" w:sz="4" w:space="0"/>
              <w:right w:val="single" w:color="auto" w:sz="4" w:space="0"/>
            </w:tcBorders>
            <w:noWrap/>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清洁发展委托贷款项目业务管理</w:t>
            </w:r>
          </w:p>
        </w:tc>
      </w:tr>
      <w:tr>
        <w:tblPrEx>
          <w:tblCellMar>
            <w:top w:w="0" w:type="dxa"/>
            <w:left w:w="108" w:type="dxa"/>
            <w:bottom w:w="0" w:type="dxa"/>
            <w:right w:w="108" w:type="dxa"/>
          </w:tblCellMar>
        </w:tblPrEx>
        <w:trPr>
          <w:trHeight w:val="510"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21</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财政专项资金的拨付</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22</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不缴或者少缴财政收入的处罚</w:t>
            </w:r>
          </w:p>
        </w:tc>
      </w:tr>
      <w:tr>
        <w:tblPrEx>
          <w:tblCellMar>
            <w:top w:w="0" w:type="dxa"/>
            <w:left w:w="108" w:type="dxa"/>
            <w:bottom w:w="0" w:type="dxa"/>
            <w:right w:w="108" w:type="dxa"/>
          </w:tblCellMar>
        </w:tblPrEx>
        <w:trPr>
          <w:trHeight w:val="76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23</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贯彻实施中央、省、市有关行政事业性收费、罚没收入、彩票公益金、捐赠等非税收入征收的政策、制度和办法。</w:t>
            </w:r>
          </w:p>
        </w:tc>
      </w:tr>
      <w:tr>
        <w:tblPrEx>
          <w:tblCellMar>
            <w:top w:w="0" w:type="dxa"/>
            <w:left w:w="108" w:type="dxa"/>
            <w:bottom w:w="0" w:type="dxa"/>
            <w:right w:w="108" w:type="dxa"/>
          </w:tblCellMar>
        </w:tblPrEx>
        <w:trPr>
          <w:trHeight w:val="600"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24</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单位不明确的县级非税收入征收</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25</w:t>
            </w:r>
          </w:p>
        </w:tc>
        <w:tc>
          <w:tcPr>
            <w:tcW w:w="1405"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拟定县级非税收入征管制度，规定和非税收入的征收管理工作</w:t>
            </w:r>
          </w:p>
        </w:tc>
      </w:tr>
      <w:tr>
        <w:tblPrEx>
          <w:tblCellMar>
            <w:top w:w="0" w:type="dxa"/>
            <w:left w:w="108" w:type="dxa"/>
            <w:bottom w:w="0" w:type="dxa"/>
            <w:right w:w="108" w:type="dxa"/>
          </w:tblCellMar>
        </w:tblPrEx>
        <w:trPr>
          <w:trHeight w:val="522" w:hRule="atLeast"/>
        </w:trPr>
        <w:tc>
          <w:tcPr>
            <w:tcW w:w="920"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26</w:t>
            </w:r>
          </w:p>
        </w:tc>
        <w:tc>
          <w:tcPr>
            <w:tcW w:w="1405"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single" w:color="auto" w:sz="4" w:space="0"/>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负责对彩票发行和公益金使用情况进行监管</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27</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非税收入代收银行确定及取消</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28</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执法执勤用车、国有企业车辆购置审批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29</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行政事业单位国有资产处置审批</w:t>
            </w:r>
          </w:p>
        </w:tc>
      </w:tr>
      <w:tr>
        <w:tblPrEx>
          <w:tblCellMar>
            <w:top w:w="0" w:type="dxa"/>
            <w:left w:w="108" w:type="dxa"/>
            <w:bottom w:w="0" w:type="dxa"/>
            <w:right w:w="108" w:type="dxa"/>
          </w:tblCellMar>
        </w:tblPrEx>
        <w:trPr>
          <w:trHeight w:val="522" w:hRule="atLeast"/>
        </w:trPr>
        <w:tc>
          <w:tcPr>
            <w:tcW w:w="920" w:type="dxa"/>
            <w:tcBorders>
              <w:top w:val="nil"/>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w:t>
            </w:r>
          </w:p>
        </w:tc>
        <w:tc>
          <w:tcPr>
            <w:tcW w:w="1405"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6480" w:type="dxa"/>
            <w:tcBorders>
              <w:top w:val="nil"/>
              <w:left w:val="nil"/>
              <w:bottom w:val="single" w:color="auto" w:sz="4" w:space="0"/>
              <w:right w:val="single" w:color="auto" w:sz="4" w:space="0"/>
            </w:tcBorders>
            <w:vAlign w:val="center"/>
          </w:tcPr>
          <w:p>
            <w:pPr>
              <w:widowControl/>
              <w:spacing w:line="50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共65项</w:t>
            </w:r>
          </w:p>
        </w:tc>
      </w:tr>
    </w:tbl>
    <w:p>
      <w:pPr>
        <w:spacing w:line="500" w:lineRule="exact"/>
        <w:rPr>
          <w:rFonts w:ascii="仿宋_GB2312" w:hAnsi="仿宋_GB2312" w:eastAsia="仿宋_GB2312" w:cs="仿宋_GB2312"/>
          <w:sz w:val="28"/>
          <w:szCs w:val="28"/>
        </w:rPr>
      </w:pPr>
    </w:p>
    <w:p>
      <w:pPr>
        <w:spacing w:line="500" w:lineRule="exact"/>
        <w:jc w:val="center"/>
        <w:rPr>
          <w:rFonts w:ascii="仿宋_GB2312" w:hAnsi="仿宋_GB2312" w:eastAsia="仿宋_GB2312" w:cs="仿宋_GB2312"/>
          <w:color w:val="FF0000"/>
          <w:sz w:val="28"/>
          <w:szCs w:val="28"/>
        </w:rPr>
      </w:pPr>
    </w:p>
    <w:p>
      <w:pPr>
        <w:spacing w:line="500" w:lineRule="exact"/>
        <w:rPr>
          <w:rFonts w:ascii="仿宋_GB2312" w:hAnsi="仿宋_GB2312" w:eastAsia="仿宋_GB2312" w:cs="仿宋_GB2312"/>
          <w:sz w:val="28"/>
          <w:szCs w:val="28"/>
        </w:rPr>
      </w:pPr>
    </w:p>
    <w:p/>
    <w:p>
      <w:pPr>
        <w:adjustRightInd w:val="0"/>
        <w:snapToGrid w:val="0"/>
        <w:spacing w:line="600" w:lineRule="exact"/>
        <w:rPr>
          <w:rFonts w:hint="eastAsia" w:ascii="微软简标宋" w:hAnsi="微软简标宋" w:cs="微软简标宋"/>
          <w:spacing w:val="-2"/>
          <w:sz w:val="44"/>
          <w:szCs w:val="44"/>
        </w:rPr>
      </w:pPr>
    </w:p>
    <w:p>
      <w:pPr>
        <w:adjustRightInd w:val="0"/>
        <w:snapToGrid w:val="0"/>
        <w:spacing w:line="600" w:lineRule="exact"/>
        <w:rPr>
          <w:rFonts w:hint="eastAsia" w:ascii="微软简标宋" w:hAnsi="微软简标宋" w:cs="微软简标宋"/>
          <w:spacing w:val="-2"/>
          <w:sz w:val="44"/>
          <w:szCs w:val="44"/>
        </w:rPr>
      </w:pPr>
    </w:p>
    <w:p>
      <w:pPr>
        <w:adjustRightInd w:val="0"/>
        <w:snapToGrid w:val="0"/>
        <w:spacing w:line="600" w:lineRule="exact"/>
        <w:rPr>
          <w:rFonts w:hint="eastAsia" w:ascii="微软简标宋" w:hAnsi="微软简标宋" w:cs="微软简标宋"/>
          <w:spacing w:val="-2"/>
          <w:sz w:val="44"/>
          <w:szCs w:val="44"/>
        </w:rPr>
      </w:pPr>
    </w:p>
    <w:p>
      <w:pPr>
        <w:adjustRightInd w:val="0"/>
        <w:snapToGrid w:val="0"/>
        <w:spacing w:line="600" w:lineRule="exact"/>
        <w:rPr>
          <w:rFonts w:hint="eastAsia" w:ascii="微软简标宋" w:hAnsi="微软简标宋" w:cs="微软简标宋"/>
          <w:spacing w:val="-2"/>
          <w:sz w:val="44"/>
          <w:szCs w:val="4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微软简标宋">
    <w:panose1 w:val="00000000000000000000"/>
    <w:charset w:val="86"/>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6BA"/>
    <w:rsid w:val="000406ED"/>
    <w:rsid w:val="00087DEE"/>
    <w:rsid w:val="002D2888"/>
    <w:rsid w:val="00560299"/>
    <w:rsid w:val="005A2AFD"/>
    <w:rsid w:val="006E243D"/>
    <w:rsid w:val="006F71F4"/>
    <w:rsid w:val="007C3778"/>
    <w:rsid w:val="00854DCE"/>
    <w:rsid w:val="00946B9F"/>
    <w:rsid w:val="00A51E4A"/>
    <w:rsid w:val="00AC2E4D"/>
    <w:rsid w:val="00D32BDF"/>
    <w:rsid w:val="00E820E8"/>
    <w:rsid w:val="00EA46BA"/>
    <w:rsid w:val="029F5166"/>
    <w:rsid w:val="11322B22"/>
    <w:rsid w:val="11934FAF"/>
    <w:rsid w:val="167C763E"/>
    <w:rsid w:val="4FF82DE0"/>
    <w:rsid w:val="582D5368"/>
    <w:rsid w:val="59771CA7"/>
    <w:rsid w:val="63451EDC"/>
    <w:rsid w:val="732330BE"/>
    <w:rsid w:val="7C11577C"/>
    <w:rsid w:val="7DDF6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rFonts w:asciiTheme="minorHAnsi" w:hAnsiTheme="minorHAnsi" w:eastAsiaTheme="minorEastAsia" w:cstheme="minorBidi"/>
      <w:b/>
      <w:bCs/>
      <w:kern w:val="44"/>
      <w:sz w:val="44"/>
      <w:szCs w:val="44"/>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cs="Calibri" w:eastAsiaTheme="minorEastAsia"/>
      <w:szCs w:val="21"/>
    </w:rPr>
  </w:style>
  <w:style w:type="paragraph" w:styleId="4">
    <w:name w:val="footer"/>
    <w:basedOn w:val="1"/>
    <w:link w:val="13"/>
    <w:qFormat/>
    <w:uiPriority w:val="0"/>
    <w:pPr>
      <w:tabs>
        <w:tab w:val="center" w:pos="4153"/>
        <w:tab w:val="right" w:pos="8306"/>
      </w:tabs>
      <w:snapToGrid w:val="0"/>
      <w:jc w:val="left"/>
    </w:pPr>
    <w:rPr>
      <w:rFonts w:asciiTheme="minorHAnsi" w:hAnsiTheme="minorHAnsi" w:eastAsiaTheme="minorEastAsia" w:cstheme="minorBidi"/>
      <w:sz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heme="minorHAnsi" w:hAnsiTheme="minorHAnsi" w:eastAsiaTheme="minorEastAsia" w:cstheme="minorBidi"/>
      <w:sz w:val="18"/>
    </w:rPr>
  </w:style>
  <w:style w:type="paragraph" w:styleId="6">
    <w:name w:val="HTML Preformatted"/>
    <w:basedOn w:val="1"/>
    <w:link w:val="1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Theme="minorEastAsia" w:cstheme="minorBidi"/>
      <w:kern w:val="0"/>
      <w:sz w:val="24"/>
    </w:rPr>
  </w:style>
  <w:style w:type="paragraph" w:styleId="7">
    <w:name w:val="Normal (Web)"/>
    <w:basedOn w:val="1"/>
    <w:qFormat/>
    <w:uiPriority w:val="0"/>
    <w:pPr>
      <w:spacing w:beforeAutospacing="1" w:afterAutospacing="1"/>
      <w:jc w:val="left"/>
    </w:pPr>
    <w:rPr>
      <w:rFonts w:asciiTheme="minorHAnsi" w:hAnsiTheme="minorHAnsi" w:eastAsiaTheme="minorEastAsia" w:cstheme="minorBidi"/>
      <w:kern w:val="0"/>
      <w:sz w:val="24"/>
    </w:rPr>
  </w:style>
  <w:style w:type="character" w:styleId="10">
    <w:name w:val="page number"/>
    <w:basedOn w:val="9"/>
    <w:qFormat/>
    <w:uiPriority w:val="0"/>
  </w:style>
  <w:style w:type="character" w:customStyle="1" w:styleId="11">
    <w:name w:val="标题 1 Char"/>
    <w:basedOn w:val="9"/>
    <w:link w:val="2"/>
    <w:qFormat/>
    <w:uiPriority w:val="0"/>
    <w:rPr>
      <w:rFonts w:asciiTheme="minorHAnsi" w:hAnsiTheme="minorHAnsi" w:eastAsiaTheme="minorEastAsia" w:cstheme="minorBidi"/>
      <w:b/>
      <w:bCs/>
      <w:kern w:val="44"/>
      <w:sz w:val="44"/>
      <w:szCs w:val="44"/>
    </w:rPr>
  </w:style>
  <w:style w:type="character" w:customStyle="1" w:styleId="12">
    <w:name w:val="页眉 Char"/>
    <w:basedOn w:val="9"/>
    <w:link w:val="5"/>
    <w:qFormat/>
    <w:uiPriority w:val="0"/>
    <w:rPr>
      <w:rFonts w:asciiTheme="minorHAnsi" w:hAnsiTheme="minorHAnsi" w:eastAsiaTheme="minorEastAsia" w:cstheme="minorBidi"/>
      <w:kern w:val="2"/>
      <w:sz w:val="18"/>
      <w:szCs w:val="24"/>
    </w:rPr>
  </w:style>
  <w:style w:type="character" w:customStyle="1" w:styleId="13">
    <w:name w:val="页脚 Char"/>
    <w:basedOn w:val="9"/>
    <w:link w:val="4"/>
    <w:qFormat/>
    <w:uiPriority w:val="0"/>
    <w:rPr>
      <w:rFonts w:asciiTheme="minorHAnsi" w:hAnsiTheme="minorHAnsi" w:eastAsiaTheme="minorEastAsia" w:cstheme="minorBidi"/>
      <w:kern w:val="2"/>
      <w:sz w:val="18"/>
      <w:szCs w:val="24"/>
    </w:rPr>
  </w:style>
  <w:style w:type="character" w:customStyle="1" w:styleId="14">
    <w:name w:val="正文文本 Char"/>
    <w:basedOn w:val="9"/>
    <w:link w:val="3"/>
    <w:qFormat/>
    <w:uiPriority w:val="0"/>
    <w:rPr>
      <w:rFonts w:cs="Calibri" w:eastAsiaTheme="minorEastAsia"/>
      <w:kern w:val="2"/>
      <w:sz w:val="21"/>
      <w:szCs w:val="21"/>
    </w:rPr>
  </w:style>
  <w:style w:type="character" w:customStyle="1" w:styleId="15">
    <w:name w:val="HTML 预设格式 Char"/>
    <w:basedOn w:val="9"/>
    <w:link w:val="6"/>
    <w:qFormat/>
    <w:uiPriority w:val="99"/>
    <w:rPr>
      <w:rFonts w:ascii="宋体" w:hAnsi="宋体" w:eastAsiaTheme="minorEastAsia" w:cstheme="minorBidi"/>
      <w:sz w:val="24"/>
      <w:szCs w:val="24"/>
    </w:rPr>
  </w:style>
  <w:style w:type="paragraph" w:customStyle="1" w:styleId="16">
    <w:name w:val="Body Text First Indent1"/>
    <w:basedOn w:val="3"/>
    <w:qFormat/>
    <w:uiPriority w:val="0"/>
    <w:pPr>
      <w:ind w:firstLine="420" w:firstLineChars="100"/>
    </w:pPr>
  </w:style>
  <w:style w:type="paragraph" w:customStyle="1" w:styleId="17">
    <w:name w:val="p0"/>
    <w:basedOn w:val="1"/>
    <w:qFormat/>
    <w:uiPriority w:val="99"/>
    <w:pPr>
      <w:widowControl/>
    </w:pPr>
    <w:rPr>
      <w:rFonts w:asciiTheme="minorHAnsi" w:hAnsiTheme="minorHAnsi" w:eastAsiaTheme="minorEastAsia" w:cstheme="minorBidi"/>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5</Pages>
  <Words>318</Words>
  <Characters>1818</Characters>
  <Lines>15</Lines>
  <Paragraphs>4</Paragraphs>
  <TotalTime>15</TotalTime>
  <ScaleCrop>false</ScaleCrop>
  <LinksUpToDate>false</LinksUpToDate>
  <CharactersWithSpaces>2132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2019-12-16T02:00:00Z</dcterms:created>
  <dc:creator>Sky123.Org</dc:creator>
  <cp:lastModifiedBy>Administrator</cp:lastModifiedBy>
  <cp:lastPrinted>2019-12-30T02:45:00Z</cp:lastPrinted>
  <dcterms:modified xsi:type="dcterms:W3CDTF">2022-03-05T07:13:28Z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35D32CAD668C43D898A60D386914B61C</vt:lpwstr>
  </property>
</Properties>
</file>