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center"/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</w:pPr>
      <w:r>
        <w:rPr>
          <w:rFonts w:hint="eastAsia" w:ascii="方正公文小标宋" w:hAnsi="方正公文小标宋" w:eastAsia="方正公文小标宋" w:cs="方正公文小标宋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  <w:t>太康县在乡镇行使消防救援行政处罚权的适用范围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（一）居民住宅小区、商业服务网点。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（二）建筑面积在300平方米以下（不含本数）的下列场所：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1.“多合一”场所；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2.出租屋、群租房；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3.商店、集贸市场、旅馆（含农家乐）、沿街门店；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4.洗浴、足浴、茶社、美容美发、采耳、健身、汗蒸、剧本杀、密室逃脱等营业性休闲场所；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5.邮政、电商、物流（含快递收发点）、金融网点、医疗卫生机构；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6.公共书屋、展示陈列等基层文化服务场所；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7.生产、加工、储存非易燃易爆的工厂、作坊、仓库、堆场等场所。</w:t>
      </w:r>
    </w:p>
    <w:p/>
    <w:sectPr>
      <w:pgSz w:w="16783" w:h="11850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yNjljYTRhYmEyMGRhYzkxNTkyYTg1ZDcwMGE0ZjkifQ=="/>
  </w:docVars>
  <w:rsids>
    <w:rsidRoot w:val="6ECE06B2"/>
    <w:rsid w:val="6EA23B18"/>
    <w:rsid w:val="6ECE06B2"/>
    <w:rsid w:val="71A1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99"/>
    <w:pPr>
      <w:widowControl w:val="0"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239</Characters>
  <Lines>0</Lines>
  <Paragraphs>0</Paragraphs>
  <TotalTime>1</TotalTime>
  <ScaleCrop>false</ScaleCrop>
  <LinksUpToDate>false</LinksUpToDate>
  <CharactersWithSpaces>240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2023-06-07T03:14:00Z</dcterms:created>
  <dc:creator>yi.</dc:creator>
  <cp:lastModifiedBy>董大力</cp:lastModifiedBy>
  <dcterms:modified xsi:type="dcterms:W3CDTF">2023-06-19T08:33:28Z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68A97680C6E44C6AB0D14D6CD6554401</vt:lpwstr>
  </property>
</Properties>
</file>